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i/>
          <w:iCs/>
          <w:u w:val="single"/>
        </w:rPr>
        <w:t xml:space="preserve">19. melléklet a 44/2015. (XI. 2.) </w:t>
      </w:r>
      <w:proofErr w:type="spellStart"/>
      <w:r w:rsidRPr="007E293B">
        <w:rPr>
          <w:rFonts w:ascii="Times New Roman" w:eastAsia="Times New Roman" w:hAnsi="Times New Roman"/>
          <w:i/>
          <w:iCs/>
          <w:u w:val="single"/>
        </w:rPr>
        <w:t>MvM</w:t>
      </w:r>
      <w:proofErr w:type="spellEnd"/>
      <w:r w:rsidRPr="007E293B">
        <w:rPr>
          <w:rFonts w:ascii="Times New Roman" w:eastAsia="Times New Roman" w:hAnsi="Times New Roman"/>
          <w:i/>
          <w:iCs/>
          <w:u w:val="single"/>
        </w:rPr>
        <w:t xml:space="preserve"> rendelethez</w:t>
      </w:r>
      <w:bookmarkStart w:id="0" w:name="foot_31_place"/>
      <w:r w:rsidR="00245D2C"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fldChar w:fldCharType="begin"/>
      </w:r>
      <w:r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instrText xml:space="preserve"> HYPERLINK "http://njt.hu/cgi_bin/njt_doc.cgi?docid=191877.333351" \l "foot31" </w:instrText>
      </w:r>
      <w:r w:rsidR="00245D2C"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fldChar w:fldCharType="separate"/>
      </w:r>
      <w:r w:rsidRPr="007E293B">
        <w:rPr>
          <w:rFonts w:ascii="Times New Roman" w:eastAsia="Times New Roman" w:hAnsi="Times New Roman"/>
          <w:i/>
          <w:iCs/>
          <w:color w:val="0000FF"/>
          <w:u w:val="single"/>
          <w:vertAlign w:val="superscript"/>
        </w:rPr>
        <w:t>31</w:t>
      </w:r>
      <w:r w:rsidR="00245D2C"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fldChar w:fldCharType="end"/>
      </w:r>
      <w:bookmarkEnd w:id="0"/>
    </w:p>
    <w:p w:rsidR="007E293B" w:rsidRPr="007E293B" w:rsidRDefault="007E293B" w:rsidP="007E293B">
      <w:pPr>
        <w:spacing w:before="80" w:after="8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sz w:val="44"/>
          <w:szCs w:val="44"/>
        </w:rPr>
        <w:t>KÖZBESZERZÉSI ADATBÁZIS</w:t>
      </w:r>
    </w:p>
    <w:p w:rsidR="007E293B" w:rsidRPr="007E293B" w:rsidRDefault="007E293B" w:rsidP="007E293B">
      <w:pPr>
        <w:spacing w:before="80" w:after="80"/>
        <w:jc w:val="righ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  <w:sz w:val="40"/>
          <w:szCs w:val="40"/>
        </w:rPr>
        <w:t>Összefoglaló tájékoztatás</w:t>
      </w:r>
    </w:p>
    <w:p w:rsidR="007E293B" w:rsidRPr="007E293B" w:rsidRDefault="007E293B" w:rsidP="007E293B">
      <w:pPr>
        <w:spacing w:before="120" w:after="120"/>
        <w:jc w:val="right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A Kbt. 113. § (1) bekezdés szerinti eljárások esetében.</w:t>
      </w:r>
    </w:p>
    <w:p w:rsidR="007E293B" w:rsidRPr="007E293B" w:rsidRDefault="007E293B" w:rsidP="007E293B">
      <w:pPr>
        <w:spacing w:before="120" w:after="120"/>
        <w:jc w:val="right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Az érdekelt gazdasági szereplőknek tájékoztatniuk kell az ajánlatkérőt arról, hogy érdeklődnek az eljárás iránt.</w:t>
      </w:r>
    </w:p>
    <w:p w:rsidR="007E293B" w:rsidRPr="007E293B" w:rsidRDefault="007E293B" w:rsidP="007E293B">
      <w:pPr>
        <w:spacing w:before="120" w:after="120"/>
        <w:jc w:val="right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A Közbeszerzési Hatóság honlapján történő közzétételre.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7E293B">
        <w:rPr>
          <w:rFonts w:ascii="Times New Roman" w:eastAsia="Times New Roman" w:hAnsi="Times New Roman"/>
          <w:b/>
          <w:bCs/>
          <w:sz w:val="28"/>
          <w:szCs w:val="28"/>
        </w:rPr>
        <w:t>I. szakasz: Ajánlatkérő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 xml:space="preserve">I.1) Név és cím(ek) </w:t>
      </w:r>
      <w:r w:rsidRPr="007E293B">
        <w:rPr>
          <w:rFonts w:ascii="Times New Roman" w:eastAsia="Times New Roman" w:hAnsi="Times New Roman"/>
          <w:vertAlign w:val="superscript"/>
        </w:rPr>
        <w:t>1</w:t>
      </w: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(jelölje meg az eljárásért felelős összes ajánlatkérőt)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2552"/>
        <w:gridCol w:w="2409"/>
      </w:tblGrid>
      <w:tr w:rsidR="007E293B" w:rsidRPr="007E293B" w:rsidTr="007E293B">
        <w:tc>
          <w:tcPr>
            <w:tcW w:w="9654" w:type="dxa"/>
            <w:gridSpan w:val="3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Hivatalos név:</w:t>
            </w:r>
            <w:r w:rsidR="007D766B">
              <w:rPr>
                <w:rFonts w:ascii="Times New Roman" w:eastAsia="Times New Roman" w:hAnsi="Times New Roman"/>
                <w:sz w:val="18"/>
                <w:szCs w:val="18"/>
              </w:rPr>
              <w:t xml:space="preserve"> Budapest Főváros X. kerület Kőbányai Önkormányzat</w:t>
            </w:r>
          </w:p>
        </w:tc>
      </w:tr>
      <w:tr w:rsidR="007E293B" w:rsidRPr="007E293B" w:rsidTr="007E293B">
        <w:tc>
          <w:tcPr>
            <w:tcW w:w="9654" w:type="dxa"/>
            <w:gridSpan w:val="3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Postai cím:</w:t>
            </w:r>
            <w:r w:rsidR="007D766B">
              <w:rPr>
                <w:rFonts w:ascii="Times New Roman" w:eastAsia="Times New Roman" w:hAnsi="Times New Roman"/>
                <w:sz w:val="18"/>
                <w:szCs w:val="18"/>
              </w:rPr>
              <w:t xml:space="preserve"> Szent László tér 29.</w:t>
            </w:r>
          </w:p>
        </w:tc>
      </w:tr>
      <w:tr w:rsidR="007E293B" w:rsidRPr="007E293B" w:rsidTr="007E293B">
        <w:tc>
          <w:tcPr>
            <w:tcW w:w="4693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Város:</w:t>
            </w:r>
            <w:r w:rsidR="007D766B">
              <w:rPr>
                <w:rFonts w:ascii="Times New Roman" w:eastAsia="Times New Roman" w:hAnsi="Times New Roman"/>
                <w:sz w:val="18"/>
                <w:szCs w:val="18"/>
              </w:rPr>
              <w:t xml:space="preserve"> Budapest</w:t>
            </w:r>
          </w:p>
        </w:tc>
        <w:tc>
          <w:tcPr>
            <w:tcW w:w="2552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Postai irányítószám:</w:t>
            </w:r>
            <w:r w:rsidR="007D766B">
              <w:rPr>
                <w:rFonts w:ascii="Times New Roman" w:eastAsia="Times New Roman" w:hAnsi="Times New Roman"/>
                <w:sz w:val="18"/>
                <w:szCs w:val="18"/>
              </w:rPr>
              <w:t xml:space="preserve"> 1102</w:t>
            </w:r>
          </w:p>
        </w:tc>
        <w:tc>
          <w:tcPr>
            <w:tcW w:w="2409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Ország:</w:t>
            </w:r>
            <w:r w:rsidR="007D766B">
              <w:rPr>
                <w:rFonts w:ascii="Times New Roman" w:eastAsia="Times New Roman" w:hAnsi="Times New Roman"/>
                <w:sz w:val="18"/>
                <w:szCs w:val="18"/>
              </w:rPr>
              <w:t xml:space="preserve"> HU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>I.2) Kommunikáció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</w:tblGrid>
      <w:tr w:rsidR="007E293B" w:rsidRPr="007E293B" w:rsidTr="007E293B">
        <w:tc>
          <w:tcPr>
            <w:tcW w:w="9654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Az érdeklődés jelzésére szolgáló elérhetőség: </w:t>
            </w:r>
            <w:r w:rsidR="007D766B">
              <w:rPr>
                <w:rFonts w:ascii="Times New Roman" w:eastAsia="Times New Roman" w:hAnsi="Times New Roman"/>
                <w:sz w:val="18"/>
                <w:szCs w:val="18"/>
              </w:rPr>
              <w:t>magyar.adrienn2@upcmail.hu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7E293B">
        <w:rPr>
          <w:rFonts w:ascii="Times New Roman" w:eastAsia="Times New Roman" w:hAnsi="Times New Roman"/>
          <w:b/>
          <w:bCs/>
          <w:sz w:val="28"/>
          <w:szCs w:val="28"/>
        </w:rPr>
        <w:t>II. szakasz: Tárgy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>II.1) Meghatározás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</w:tblGrid>
      <w:tr w:rsidR="007E293B" w:rsidRPr="007E293B" w:rsidTr="007E293B">
        <w:tc>
          <w:tcPr>
            <w:tcW w:w="9654" w:type="dxa"/>
            <w:hideMark/>
          </w:tcPr>
          <w:p w:rsidR="007E293B" w:rsidRPr="007E293B" w:rsidRDefault="007E293B" w:rsidP="007D766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II.1.1) </w:t>
            </w:r>
            <w:proofErr w:type="gramStart"/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A</w:t>
            </w:r>
            <w:proofErr w:type="gramEnd"/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szerződés típusa</w:t>
            </w:r>
            <w:r w:rsidRPr="007E293B">
              <w:rPr>
                <w:rFonts w:ascii="Wingdings" w:eastAsia="Times New Roman" w:hAnsi="Wingdings"/>
                <w:sz w:val="18"/>
                <w:szCs w:val="18"/>
              </w:rPr>
              <w:t>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Építési beruházás </w:t>
            </w:r>
            <w:r w:rsidRPr="007E293B">
              <w:rPr>
                <w:rFonts w:ascii="Wingdings" w:eastAsia="Times New Roman" w:hAnsi="Wingdings"/>
                <w:sz w:val="18"/>
                <w:szCs w:val="18"/>
              </w:rPr>
              <w:t>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Árubeszerzés </w:t>
            </w:r>
            <w:r w:rsidR="007D766B">
              <w:rPr>
                <w:rFonts w:ascii="Wingdings" w:eastAsia="Times New Roman" w:hAnsi="Wingdings"/>
                <w:sz w:val="18"/>
                <w:szCs w:val="18"/>
              </w:rPr>
              <w:t>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Szolgáltatás</w:t>
            </w:r>
            <w:r w:rsidR="0081615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megrendelés</w:t>
            </w:r>
          </w:p>
        </w:tc>
      </w:tr>
      <w:tr w:rsidR="007E293B" w:rsidRPr="007E293B" w:rsidTr="007E293B">
        <w:tc>
          <w:tcPr>
            <w:tcW w:w="9654" w:type="dxa"/>
            <w:hideMark/>
          </w:tcPr>
          <w:p w:rsidR="007E293B" w:rsidRPr="007E293B" w:rsidRDefault="007E293B" w:rsidP="002827A6">
            <w:pPr>
              <w:spacing w:before="120" w:after="1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II.1.2) </w:t>
            </w:r>
            <w:proofErr w:type="gramStart"/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A</w:t>
            </w:r>
            <w:proofErr w:type="gramEnd"/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szerződés tárgya:</w:t>
            </w:r>
            <w:r w:rsidR="007D766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827A6" w:rsidRPr="00457188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>Vagyon- és felelősségbiztosítási szerződés Budapest Főváros X. kerület Kőbányai Önkormányzat és intézményei számára</w:t>
            </w:r>
            <w:r w:rsidR="002827A6" w:rsidRPr="007D766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E293B" w:rsidRPr="007E293B" w:rsidTr="007E293B">
        <w:tc>
          <w:tcPr>
            <w:tcW w:w="9654" w:type="dxa"/>
            <w:hideMark/>
          </w:tcPr>
          <w:p w:rsid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</w:pPr>
            <w:r w:rsidRPr="007D766B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 xml:space="preserve">II.1.3) </w:t>
            </w:r>
            <w:proofErr w:type="gramStart"/>
            <w:r w:rsidRPr="007D766B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A</w:t>
            </w:r>
            <w:proofErr w:type="gramEnd"/>
            <w:r w:rsidRPr="007D766B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 xml:space="preserve"> közbeszerzés mennyisége:</w:t>
            </w:r>
          </w:p>
          <w:p w:rsidR="00C76367" w:rsidRPr="00457188" w:rsidRDefault="007D766B" w:rsidP="002827A6">
            <w:pP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Vagyon-</w:t>
            </w:r>
            <w:r w:rsidR="00C76367" w:rsidRPr="0045718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és felelősségbiztosítási szerződés Budapest Főváros X. kerület Kőbányai Önkormányzat és intézményei számára az alábbi tartalommal:</w:t>
            </w:r>
          </w:p>
          <w:p w:rsidR="00C76367" w:rsidRPr="00457188" w:rsidRDefault="007D766B" w:rsidP="002827A6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45718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1. vagyonbiztosítás</w:t>
            </w:r>
            <w:r w:rsidRPr="0045718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br/>
            </w:r>
            <w:r w:rsidRPr="0045718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2. kombinált felelősségbiztosítás</w:t>
            </w:r>
          </w:p>
          <w:p w:rsidR="00C76367" w:rsidRPr="00457188" w:rsidRDefault="00C76367" w:rsidP="007D766B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C76367" w:rsidRPr="00457188" w:rsidRDefault="007D766B" w:rsidP="007D766B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</w:pPr>
            <w:r w:rsidRPr="0045718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I. Vagyonbiztosítás:</w:t>
            </w:r>
          </w:p>
          <w:p w:rsidR="007D766B" w:rsidRPr="007D766B" w:rsidRDefault="007D766B" w:rsidP="007D766B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7D766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Biztosítási összegek:</w:t>
            </w:r>
          </w:p>
          <w:p w:rsidR="007D766B" w:rsidRPr="00457188" w:rsidRDefault="007D766B" w:rsidP="007D766B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Ingatlanok: 57 107 880 000 Ft</w:t>
            </w:r>
          </w:p>
          <w:p w:rsidR="007D766B" w:rsidRPr="00457188" w:rsidRDefault="007D766B" w:rsidP="007D766B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Ingóságok: </w:t>
            </w:r>
            <w:r w:rsidR="00B46C3A" w:rsidRPr="00B46C3A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1 817 396 730</w:t>
            </w:r>
            <w:r w:rsidR="00B46C3A">
              <w:rPr>
                <w:lang w:eastAsia="en-US"/>
              </w:rPr>
              <w:t xml:space="preserve"> 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Ft</w:t>
            </w:r>
          </w:p>
          <w:p w:rsidR="007D766B" w:rsidRPr="00457188" w:rsidRDefault="007D766B" w:rsidP="007D766B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Előgondoskodás: 250 000 000 Ft</w:t>
            </w:r>
          </w:p>
          <w:p w:rsidR="007D766B" w:rsidRPr="00457188" w:rsidRDefault="007D766B" w:rsidP="007D766B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Mellékköltség: 100 000 000 Ft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Biztosított kockázatok:</w:t>
            </w:r>
          </w:p>
          <w:p w:rsidR="007D766B" w:rsidRPr="00457188" w:rsidRDefault="007D766B" w:rsidP="007D766B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FLEXA, kiegészítő kockázatok és egyéb biztosítási fedezetek</w:t>
            </w:r>
          </w:p>
          <w:p w:rsidR="007D766B" w:rsidRPr="00457188" w:rsidRDefault="007D766B" w:rsidP="007D766B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Önrész: 10% de min 25 000 Ft/kár levonásos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100% Önkormányzati tulajdonban lévő lakóépületek esetében önrészesedés nincsen</w:t>
            </w:r>
          </w:p>
          <w:p w:rsidR="00C76367" w:rsidRPr="00457188" w:rsidRDefault="007D766B" w:rsidP="00C7636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Különböző biztosítási fedezetek esetén eltérő önrészek lehetnek (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Betöréses lopás, rablás, vandalizmus, küldöttrablás biztosítás esetén</w:t>
            </w:r>
            <w:r w:rsidRPr="00457188">
              <w:rPr>
                <w:rFonts w:ascii="Helvetica" w:hAnsi="Helvetica"/>
                <w:color w:val="336699"/>
                <w:sz w:val="18"/>
                <w:szCs w:val="18"/>
                <w:shd w:val="clear" w:color="auto" w:fill="FFFFFF"/>
              </w:rPr>
              <w:t xml:space="preserve"> 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10%, de min 10 000 Ft)</w:t>
            </w:r>
            <w:r w:rsidR="00C76367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D766B" w:rsidRPr="00457188" w:rsidRDefault="007D766B" w:rsidP="002827A6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Kártérítési limit (</w:t>
            </w:r>
            <w:proofErr w:type="spellStart"/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ek</w:t>
            </w:r>
            <w:proofErr w:type="spellEnd"/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 a biztosítási összegen belül: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Elektromos áramingadozásából, és/vagy túlfeszültségéből eredő károk 5 M Ft/kár/év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Elektromos berendezésekben keletkezett tűzkárok 5M Ft/kár/év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Biztosítási esemény következtében károsodott/szennyeződött hivatalos iratok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helyreállítása, tisztítása és/vagy szárítása 5M Ft/kár/év</w:t>
            </w:r>
          </w:p>
          <w:p w:rsidR="007D766B" w:rsidRPr="00457188" w:rsidRDefault="007D766B" w:rsidP="002827A6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építés vagy felújítás alatt álló</w:t>
            </w:r>
            <w:r w:rsidR="00C76367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épületek ideiglenes tetőzetének elégtelensége miatt</w:t>
            </w:r>
            <w:r w:rsidR="00C76367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keletkezet</w:t>
            </w:r>
            <w:r w:rsidR="00C76367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 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beázási károk 5M Ft/kár/év</w:t>
            </w:r>
          </w:p>
          <w:p w:rsidR="007D766B" w:rsidRPr="00457188" w:rsidRDefault="007D766B" w:rsidP="002827A6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vezetéktöréséből eredő</w:t>
            </w:r>
            <w:r w:rsidRPr="00457188">
              <w:rPr>
                <w:rFonts w:ascii="Helvetica" w:hAnsi="Helvetica"/>
                <w:color w:val="336699"/>
                <w:sz w:val="18"/>
                <w:szCs w:val="18"/>
              </w:rPr>
              <w:t xml:space="preserve"> 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vízkár esetén</w:t>
            </w:r>
            <w:r w:rsidR="00C76367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kiömlő, elfolyt folyadékveszteség térítése 1M Ft/kár/év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Üvegbiztosítás minden üvegtípusra és méretre 5M Ft/kár/év</w:t>
            </w:r>
          </w:p>
          <w:p w:rsidR="00C76367" w:rsidRPr="00457188" w:rsidRDefault="00C76367" w:rsidP="007D766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827A6" w:rsidRPr="00457188" w:rsidRDefault="007D766B" w:rsidP="00C7636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Egyéb biztosítási fedezetek:</w:t>
            </w:r>
          </w:p>
          <w:p w:rsidR="00C76367" w:rsidRPr="00457188" w:rsidRDefault="007D766B" w:rsidP="00C7636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45718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Betöréses lopás, rablás, vandalizmus, küldöttrablás biztosítás, elektromos és elektronikus berendezések </w:t>
            </w:r>
            <w:proofErr w:type="spellStart"/>
            <w:r w:rsidRPr="0045718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összkockázatú</w:t>
            </w:r>
            <w:proofErr w:type="spellEnd"/>
            <w:r w:rsidRPr="0045718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biztosítása</w:t>
            </w:r>
          </w:p>
          <w:p w:rsidR="002827A6" w:rsidRPr="00457188" w:rsidRDefault="002827A6" w:rsidP="00C7636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C76367" w:rsidRPr="00457188" w:rsidRDefault="00C76367" w:rsidP="00C76367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Készpénz, értékcikk biztosítás: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30.000.000 Ft, amely az alábbiakat foglalja magában: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pénztárban tárolt készpénz,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a hivatal pénztárosa által szállított készpénz (Bankból),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intézményi készpénzszállítás és tárolás,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alkalmanként tárolt utalványok értéke.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Kártérítési limit (</w:t>
            </w:r>
            <w:proofErr w:type="spellStart"/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ek</w:t>
            </w:r>
            <w:proofErr w:type="spellEnd"/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 a biztosítási összegen belül:</w:t>
            </w:r>
          </w:p>
          <w:p w:rsidR="00C76367" w:rsidRPr="00457188" w:rsidRDefault="00C76367" w:rsidP="00C76367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 </w:t>
            </w:r>
            <w:proofErr w:type="gramStart"/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Betöréses lopás, rablás 250 000 </w:t>
            </w:r>
            <w:proofErr w:type="spellStart"/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</w:t>
            </w:r>
            <w:proofErr w:type="spellEnd"/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Ft/kár/év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="007D766B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Lopás 4M Ft/kár 8M Ft/év</w:t>
            </w:r>
            <w:r w:rsidR="007D766B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Készpénz biztosítás 4M Ft/kár 8M Ft/év</w:t>
            </w:r>
            <w:r w:rsidR="007D766B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Küldöttrablás 1M Ft/kár/év</w:t>
            </w:r>
            <w:r w:rsidR="007D766B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Szándékos rongálás 1M Ft/kár és 10M Ft/év</w:t>
            </w:r>
            <w:r w:rsidR="007D766B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- Intézmények belső udvarain található szabadban lévő szabadban lévő játszótéri eszközök, szabadban, emléktáblák, szobrok, </w:t>
            </w:r>
            <w:proofErr w:type="spellStart"/>
            <w:r w:rsidR="007D766B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díszkutak</w:t>
            </w:r>
            <w:proofErr w:type="spellEnd"/>
            <w:r w:rsidR="007D766B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feszületek és szökőkutak szándékos</w:t>
            </w:r>
            <w:r w:rsidR="007D766B" w:rsidRPr="00457188">
              <w:rPr>
                <w:rFonts w:ascii="Helvetica" w:hAnsi="Helvetica"/>
                <w:color w:val="336699"/>
                <w:sz w:val="18"/>
                <w:szCs w:val="18"/>
                <w:shd w:val="clear" w:color="auto" w:fill="FFFFFF"/>
              </w:rPr>
              <w:t xml:space="preserve"> </w:t>
            </w:r>
            <w:r w:rsidR="007D766B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rongálása.</w:t>
            </w:r>
            <w:proofErr w:type="gramEnd"/>
            <w:r w:rsidR="007D766B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1M Ft/kár és 5M Ft/év</w:t>
            </w:r>
          </w:p>
          <w:p w:rsidR="007D766B" w:rsidRPr="00457188" w:rsidRDefault="007D766B" w:rsidP="007D766B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45718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II. Felelősségbiztosítás: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Tevékenységi felelősségbiztosítás kiterjesztve a</w:t>
            </w:r>
            <w:r w:rsidR="00DF6D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munkavállalókra és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közfoglalkoztatottakra is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Munkáltatói felelősségbiztosítás kiterjesztve a</w:t>
            </w:r>
            <w:r w:rsidR="00DF6D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munkavállalókra és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közfoglalkoztatottakra is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Bérlői felelősségbiztosítás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Bérbeadói felelősségbiztosítás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Önkormányzati alkalmazottak felelősségbiztosítása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Szolgáltatói felelősségbiztosítás kiterjesztve a</w:t>
            </w:r>
            <w:r w:rsidR="00DF6D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munkavállalókra és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közfoglalkoztatottakra is</w:t>
            </w:r>
          </w:p>
          <w:p w:rsidR="007D766B" w:rsidRPr="00457188" w:rsidRDefault="007D766B" w:rsidP="007D766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Oktatási nevelési tevékenység felelősségbiztosítása</w:t>
            </w:r>
          </w:p>
          <w:p w:rsidR="002827A6" w:rsidRPr="00457188" w:rsidRDefault="007D766B" w:rsidP="007D766B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Rendezvényszervezői felelősségbiztosítás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Kiterjesztés a Sörgyár telephelyhez tartozó pincerendszer tulajdonosával szemben támasztott felelősségi károkra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  <w:p w:rsidR="002827A6" w:rsidRPr="00457188" w:rsidRDefault="007D766B" w:rsidP="002827A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felelősségbiztosításnak ki kell terjednie a közterületek, közparkok üzemeltetői, karbantartói minőségben okozott</w:t>
            </w:r>
            <w:r w:rsidRPr="00457188">
              <w:rPr>
                <w:rFonts w:ascii="Helvetica" w:hAnsi="Helvetica"/>
                <w:color w:val="336699"/>
                <w:sz w:val="18"/>
                <w:szCs w:val="18"/>
                <w:shd w:val="clear" w:color="auto" w:fill="FFFFFF"/>
              </w:rPr>
              <w:t xml:space="preserve"> 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károkra.</w:t>
            </w:r>
          </w:p>
          <w:p w:rsidR="002827A6" w:rsidRPr="00FA6220" w:rsidRDefault="007D766B" w:rsidP="002827A6">
            <w:pPr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FA6220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Felelősség biztosítási fedezettel szemben támasztott elvárások:</w:t>
            </w:r>
          </w:p>
          <w:p w:rsidR="007D766B" w:rsidRPr="00457188" w:rsidRDefault="007D766B" w:rsidP="002827A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A6220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br/>
            </w:r>
            <w:r w:rsidR="002827A6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Felelősségbiztosítás: 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Kombinált limit az Önkormányzat és intézményei vonatkozásában az ajánlattevő ajánlatában foglaltak szerint</w:t>
            </w:r>
            <w:r w:rsidR="002827A6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de minimum 30 M Ft/kár/év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D766B" w:rsidRPr="00457188" w:rsidRDefault="007D766B" w:rsidP="002827A6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D766B" w:rsidRPr="00457188" w:rsidRDefault="007D766B" w:rsidP="007D766B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 xml:space="preserve">Felelősségbiztosítási </w:t>
            </w:r>
            <w:proofErr w:type="spellStart"/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szublimitek</w:t>
            </w:r>
            <w:proofErr w:type="spellEnd"/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 xml:space="preserve"> az Önkormányzat és intézményei vonatkozásában: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br/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Közútkezelői minőségben okozott károk pl. kátyú 10M Ft/kár/év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Sorfák, pincerendszer, parkfenntartói minőségben okozott károk 10M Ft/kár/év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Önkormányzati alkalmazottak felelősségbiztosítása 10M Ft/kár és 30M Ft/év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Munkáltatói felelősségbiztosítás 10M Ft/kár és 20M Ft/év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Közfoglalkoztatottak</w:t>
            </w:r>
            <w:r w:rsidR="00DF6D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és munkavállalók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által okozott károk 5M Ft/kár és 10M Ft/év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Oktatási, nevelési, gyermekellátási tevékenység során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okozott károk felelősségbiztosítása 5M Ft/kár és 10M Ft/év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Az önkormányzati vagyon üzemeltetéséből ered</w:t>
            </w:r>
            <w:proofErr w:type="gramEnd"/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ő károk 5M Ft/kár és 10M Ft/év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Az Önkormányzat által</w:t>
            </w:r>
            <w:r w:rsidRPr="00457188">
              <w:rPr>
                <w:rFonts w:ascii="Helvetica" w:hAnsi="Helvetica"/>
                <w:color w:val="336699"/>
                <w:sz w:val="18"/>
                <w:szCs w:val="18"/>
                <w:shd w:val="clear" w:color="auto" w:fill="FFFFFF"/>
              </w:rPr>
              <w:t xml:space="preserve"> 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kezelt</w:t>
            </w:r>
            <w:r w:rsidR="002827A6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és fenntartott utak kezelése, 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tisztítása, síkosság </w:t>
            </w:r>
            <w:proofErr w:type="gramStart"/>
            <w:r w:rsidR="002827A6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mentesítése</w:t>
            </w:r>
            <w:proofErr w:type="gramEnd"/>
            <w:r w:rsidR="002827A6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során okozott károk 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felelősségbiztosítása 5M Ft/kár/év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Az Önkormányzat által kezelt és</w:t>
            </w:r>
            <w:r w:rsidR="002827A6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fenntartott parkok működtetése</w:t>
            </w:r>
            <w:r w:rsidR="00FA62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során okozott</w:t>
            </w:r>
            <w:r w:rsidR="002827A6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károk felelősségbiztosítása 5M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Ft/kár/év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 Rendezvényszervezői felelősségbiztosítás 5M Ft/kár és 10M Ft/év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Önrészesedés: 10%</w:t>
            </w:r>
            <w:r w:rsidR="002827A6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de min. 10 000 Ft/kár levonásos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  <w:p w:rsidR="007D766B" w:rsidRPr="00457188" w:rsidRDefault="007D766B" w:rsidP="007D766B">
            <w:pP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5718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Kockázatviselés kezdete: 2018. június 30. napján 0:00 óra</w:t>
            </w:r>
            <w:r w:rsidRPr="0045718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br/>
            </w:r>
          </w:p>
          <w:p w:rsidR="007D766B" w:rsidRPr="00457188" w:rsidRDefault="007D766B" w:rsidP="007D766B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13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Évforduló: minden július 1-je.</w:t>
            </w:r>
          </w:p>
          <w:p w:rsidR="003F13DE" w:rsidRDefault="003F13DE" w:rsidP="003F13DE">
            <w:pPr>
              <w:rPr>
                <w:b/>
                <w:bCs/>
                <w:i/>
                <w:iCs/>
              </w:rPr>
            </w:pPr>
          </w:p>
          <w:p w:rsidR="003F13DE" w:rsidRPr="003F13DE" w:rsidRDefault="003F13DE" w:rsidP="003F13D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13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Biztosító a biztosítási esemény bekövetkezte esetében az alulbiztosítottságot 50 millió forint kárösszegig nem vizsgálja, ekkora kárértékig az adott káreseményre vonatkozóan pro-ráta kárszámítást nem alkalmaz.</w:t>
            </w:r>
          </w:p>
          <w:p w:rsidR="007D766B" w:rsidRPr="007D766B" w:rsidRDefault="007D766B" w:rsidP="007D76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D766B" w:rsidRPr="00457188" w:rsidRDefault="007D766B" w:rsidP="007D766B">
            <w:pPr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Kötelező záradékok:</w:t>
            </w:r>
          </w:p>
          <w:p w:rsidR="007D766B" w:rsidRPr="00457188" w:rsidRDefault="007D766B" w:rsidP="007D766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Az induló adatközlésből kimaradt, vagy az</w:t>
            </w:r>
            <w:r w:rsidRPr="00457188">
              <w:rPr>
                <w:rFonts w:ascii="Helvetica" w:hAnsi="Helvetica"/>
                <w:color w:val="336699"/>
                <w:sz w:val="18"/>
                <w:szCs w:val="18"/>
              </w:rPr>
              <w:t xml:space="preserve"> 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éves adatbejelentésből kifelejtett telephelyeken a vagyontárgyakban bekövetkezett biztosítási események esetén a térítési limit: 5M Ft/kár/év.</w:t>
            </w:r>
          </w:p>
          <w:p w:rsidR="007D766B" w:rsidRPr="00457188" w:rsidRDefault="007D766B" w:rsidP="007D766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A kockázatviselés tartama alatt okozott, bekövetkezett és hatályos szerződés esetén a kockázatviselés tartama alatt bejelentett, megszűnt szerződés esetén a kockázatviselés megszűnését követő 1 éven belül bejelentett károkat téríti meg, mindhárom feltétel együttes fennállása esetén.</w:t>
            </w:r>
          </w:p>
          <w:p w:rsidR="007D766B" w:rsidRPr="00457188" w:rsidRDefault="007D766B" w:rsidP="007D766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A Biztosító szolgáltatási kötelezettsége</w:t>
            </w:r>
            <w:r w:rsidR="000171D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(kárkifizetés)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 káresemény bejelentését követő</w:t>
            </w:r>
            <w:r w:rsidR="002827A6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maximum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15. </w:t>
            </w:r>
            <w:r w:rsidR="002827A6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naptári 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napon esedékes</w:t>
            </w:r>
            <w:r w:rsidR="002827A6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az ajánlattevő ajánlatában foglaltak szerint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Ha a Biztosított és a Károsult a kár jogalapját vagy összegszerűségét igazoló iratot tartozik bemutatni, úgy a határidő attól a naptól számítandó, amikor az utolsó, a kár elbírálásához szükséges releváns irat a Biztosító 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kárrendezési egységéhez megérkezett.</w:t>
            </w:r>
          </w:p>
          <w:p w:rsidR="007D766B" w:rsidRPr="00457188" w:rsidRDefault="007D766B" w:rsidP="007D766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57188">
              <w:rPr>
                <w:rFonts w:ascii="Helvetica" w:hAnsi="Helvetica"/>
                <w:color w:val="336699"/>
                <w:sz w:val="18"/>
                <w:szCs w:val="18"/>
              </w:rPr>
              <w:t xml:space="preserve"> 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A kamerarendszerek és sebességmérő berendezések biztosítottsága telephelytől független.</w:t>
            </w:r>
          </w:p>
          <w:p w:rsidR="007D766B" w:rsidRPr="00457188" w:rsidRDefault="007D766B" w:rsidP="007D766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D766B" w:rsidRPr="00457188" w:rsidRDefault="002827A6" w:rsidP="007D766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Értékelési részszempontot képez a</w:t>
            </w:r>
            <w:r w:rsidR="007D766B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biztosított vagyontárgyak</w:t>
            </w:r>
            <w:r w:rsidR="007D766B"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a Biztosítónak történő külön bejelentés nélkül –biztosított telephelyek között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 áthelyezésének engedélyezése vagy tiltása.</w:t>
            </w:r>
          </w:p>
          <w:p w:rsidR="007D766B" w:rsidRPr="00457188" w:rsidRDefault="007D766B" w:rsidP="007D766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D766B" w:rsidRPr="00457188" w:rsidRDefault="007D766B" w:rsidP="007D766B">
            <w:pPr>
              <w:spacing w:before="120" w:after="12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részletes szakmai tartalom az ajánlattételi</w:t>
            </w:r>
            <w:r w:rsidRPr="00457188">
              <w:rPr>
                <w:rFonts w:ascii="Helvetica" w:hAnsi="Helvetica"/>
                <w:color w:val="336699"/>
                <w:sz w:val="18"/>
                <w:szCs w:val="18"/>
                <w:shd w:val="clear" w:color="auto" w:fill="FFFFFF"/>
              </w:rPr>
              <w:t xml:space="preserve"> </w:t>
            </w:r>
            <w:r w:rsidRPr="004571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szakaszban kerül kiadásra.</w:t>
            </w:r>
          </w:p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highlight w:val="yellow"/>
                <w:u w:val="wave"/>
              </w:rPr>
            </w:pPr>
            <w:r w:rsidRPr="007D766B">
              <w:rPr>
                <w:rFonts w:ascii="Times New Roman" w:eastAsia="Times New Roman" w:hAnsi="Times New Roman"/>
                <w:sz w:val="18"/>
                <w:szCs w:val="18"/>
                <w:u w:val="wave"/>
              </w:rPr>
              <w:t>(az építési beruházás, árubeszerzés vagy szolgáltatás jellegének megfelelően)</w:t>
            </w:r>
          </w:p>
        </w:tc>
      </w:tr>
      <w:tr w:rsidR="007E293B" w:rsidRPr="007E293B" w:rsidTr="007E293B">
        <w:tc>
          <w:tcPr>
            <w:tcW w:w="9654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827A6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lastRenderedPageBreak/>
              <w:t>II.1.4)</w:t>
            </w:r>
            <w:r w:rsidRPr="002827A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A</w:t>
            </w: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szerződés időtartama, vagy a teljesítés határideje</w:t>
            </w:r>
          </w:p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Időtartam hónapban: [</w:t>
            </w:r>
            <w:r w:rsidR="007D766B">
              <w:rPr>
                <w:rFonts w:ascii="Times New Roman" w:eastAsia="Times New Roman" w:hAnsi="Times New Roman"/>
                <w:sz w:val="18"/>
                <w:szCs w:val="18"/>
              </w:rPr>
              <w:t>36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] vagy napban: </w:t>
            </w:r>
            <w:proofErr w:type="gramStart"/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[ ]</w:t>
            </w:r>
            <w:proofErr w:type="gramEnd"/>
          </w:p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vagy a teljesítés határideje: </w:t>
            </w:r>
            <w:r w:rsidRPr="007E293B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7E293B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éééé</w:t>
            </w:r>
            <w:proofErr w:type="spellEnd"/>
            <w:r w:rsidRPr="007E293B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Pr="007E293B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hh</w:t>
            </w:r>
            <w:proofErr w:type="spellEnd"/>
            <w:r w:rsidRPr="007E293B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Pr="007E293B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nn</w:t>
            </w:r>
            <w:proofErr w:type="spellEnd"/>
            <w:r w:rsidRPr="007E293B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7E293B" w:rsidRPr="007E293B" w:rsidTr="007E293B">
        <w:tc>
          <w:tcPr>
            <w:tcW w:w="9654" w:type="dxa"/>
            <w:hideMark/>
          </w:tcPr>
          <w:p w:rsidR="007E293B" w:rsidRPr="00457188" w:rsidRDefault="007E293B" w:rsidP="00457188">
            <w:pPr>
              <w:rPr>
                <w:color w:val="000000"/>
              </w:rPr>
            </w:pPr>
            <w:r w:rsidRPr="00457188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II.1.5</w:t>
            </w:r>
            <w:r w:rsidRPr="0045718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)</w:t>
            </w: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A</w:t>
            </w:r>
            <w:proofErr w:type="gramEnd"/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teljesítés helye:</w:t>
            </w:r>
            <w:r w:rsidR="00457188" w:rsidRPr="00E73958">
              <w:rPr>
                <w:color w:val="000000"/>
              </w:rPr>
              <w:t xml:space="preserve"> </w:t>
            </w:r>
            <w:r w:rsidR="00457188" w:rsidRPr="00457188">
              <w:rPr>
                <w:rFonts w:ascii="Times New Roman" w:eastAsia="Times New Roman" w:hAnsi="Times New Roman"/>
                <w:sz w:val="18"/>
                <w:szCs w:val="18"/>
              </w:rPr>
              <w:t>Budapest Főváros X. kerület Kőbányai Önkormányzat közigazgatási területe</w:t>
            </w:r>
            <w:r w:rsidR="00457188" w:rsidRPr="00E73958">
              <w:rPr>
                <w:color w:val="000000"/>
              </w:rPr>
              <w:t xml:space="preserve"> </w:t>
            </w:r>
          </w:p>
        </w:tc>
      </w:tr>
    </w:tbl>
    <w:p w:rsidR="007E293B" w:rsidRPr="000171D7" w:rsidRDefault="00B31924" w:rsidP="007E293B">
      <w:pPr>
        <w:spacing w:before="120" w:after="120"/>
        <w:jc w:val="left"/>
        <w:rPr>
          <w:rFonts w:ascii="Times New Roman" w:eastAsia="Times New Roman" w:hAnsi="Times New Roman"/>
          <w:vanish/>
          <w:sz w:val="28"/>
          <w:szCs w:val="28"/>
          <w:u w:val="wave"/>
        </w:rPr>
      </w:pPr>
      <w:r w:rsidRPr="000171D7">
        <w:rPr>
          <w:rFonts w:ascii="Times New Roman" w:eastAsia="Times New Roman" w:hAnsi="Times New Roman"/>
          <w:b/>
          <w:bCs/>
          <w:sz w:val="28"/>
          <w:szCs w:val="28"/>
          <w:u w:val="wave"/>
        </w:rPr>
        <w:t>III</w:t>
      </w:r>
      <w:bookmarkStart w:id="1" w:name="_GoBack"/>
      <w:bookmarkEnd w:id="1"/>
      <w:r w:rsidRPr="000171D7">
        <w:rPr>
          <w:rFonts w:ascii="Times New Roman" w:eastAsia="Times New Roman" w:hAnsi="Times New Roman"/>
          <w:b/>
          <w:bCs/>
          <w:sz w:val="28"/>
          <w:szCs w:val="28"/>
          <w:u w:val="wave"/>
        </w:rPr>
        <w:t>. szakasz: Értékelési szempontok</w:t>
      </w:r>
    </w:p>
    <w:tbl>
      <w:tblPr>
        <w:tblW w:w="97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9"/>
      </w:tblGrid>
      <w:tr w:rsidR="007E293B" w:rsidRPr="00F77147" w:rsidTr="00B31924">
        <w:tc>
          <w:tcPr>
            <w:tcW w:w="9749" w:type="dxa"/>
            <w:hideMark/>
          </w:tcPr>
          <w:p w:rsidR="007E293B" w:rsidRPr="000171D7" w:rsidRDefault="007E293B" w:rsidP="007E293B">
            <w:pPr>
              <w:spacing w:before="120" w:after="120"/>
              <w:ind w:left="94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0171D7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III.1) Értékelési szempontok:</w:t>
            </w:r>
          </w:p>
          <w:p w:rsidR="007E293B" w:rsidRPr="000171D7" w:rsidRDefault="00457188" w:rsidP="007E293B">
            <w:pPr>
              <w:spacing w:before="120" w:after="120"/>
              <w:ind w:left="94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0171D7">
              <w:rPr>
                <w:rFonts w:ascii="Wingdings" w:eastAsia="Times New Roman" w:hAnsi="Wingdings"/>
                <w:sz w:val="18"/>
                <w:szCs w:val="18"/>
                <w:u w:val="wave"/>
              </w:rPr>
              <w:t></w:t>
            </w:r>
            <w:r w:rsidR="007E293B" w:rsidRPr="000171D7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>Az alábbi értékelési szempontok</w:t>
            </w:r>
          </w:p>
          <w:p w:rsidR="007E293B" w:rsidRDefault="00457188" w:rsidP="007E293B">
            <w:pPr>
              <w:spacing w:before="120" w:after="120"/>
              <w:ind w:left="265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</w:pPr>
            <w:r w:rsidRPr="000171D7">
              <w:rPr>
                <w:rFonts w:ascii="Wingdings" w:eastAsia="Times New Roman" w:hAnsi="Wingdings"/>
                <w:sz w:val="18"/>
                <w:szCs w:val="18"/>
                <w:u w:val="wave"/>
              </w:rPr>
              <w:t></w:t>
            </w:r>
            <w:r w:rsidR="007E293B" w:rsidRPr="000171D7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>Minőségi szempont - Megnevezés:</w:t>
            </w:r>
            <w:r w:rsidR="000171D7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</w:t>
            </w:r>
            <w:r w:rsidR="0098137D" w:rsidRPr="0098137D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a</w:t>
            </w:r>
            <w:r w:rsidR="0098137D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</w:t>
            </w:r>
            <w:r w:rsidR="000171D7" w:rsidRPr="00F2347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kárkifizetések határideje (maximum 15 naptári nap)</w:t>
            </w:r>
            <w:r w:rsidR="007E293B" w:rsidRPr="000171D7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/ Súlyszám:</w:t>
            </w:r>
            <w:r w:rsidR="000171D7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</w:t>
            </w:r>
            <w:r w:rsidR="000171D7" w:rsidRPr="000171D7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10</w:t>
            </w:r>
          </w:p>
          <w:p w:rsidR="000171D7" w:rsidRPr="00F23471" w:rsidRDefault="000171D7" w:rsidP="007E293B">
            <w:pPr>
              <w:spacing w:before="120" w:after="120"/>
              <w:ind w:left="265"/>
              <w:jc w:val="left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</w:pPr>
            <w:r w:rsidRPr="000171D7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>Megnevezés:</w:t>
            </w:r>
            <w:r w:rsidR="00F23471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</w:t>
            </w:r>
            <w:r w:rsidR="00F23471" w:rsidRPr="00F2347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felelősségbiztosítás kombinált limit mértéke (Ft/kár/év</w:t>
            </w:r>
            <w:proofErr w:type="gramStart"/>
            <w:r w:rsidR="00F23471" w:rsidRPr="00F2347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)</w:t>
            </w:r>
            <w:r w:rsidR="00F23471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</w:t>
            </w:r>
            <w:r w:rsidRPr="000171D7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/</w:t>
            </w:r>
            <w:proofErr w:type="gramEnd"/>
            <w:r w:rsidRPr="000171D7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Súlyszám</w:t>
            </w:r>
            <w:r w:rsidR="00F23471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: </w:t>
            </w:r>
            <w:r w:rsidR="00F23471" w:rsidRPr="00F2347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10</w:t>
            </w:r>
          </w:p>
          <w:p w:rsidR="000171D7" w:rsidRPr="00F23471" w:rsidRDefault="000171D7" w:rsidP="007E293B">
            <w:pPr>
              <w:spacing w:before="120" w:after="120"/>
              <w:ind w:left="265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u w:val="wave"/>
              </w:rPr>
            </w:pPr>
            <w:r w:rsidRPr="000171D7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>Megnevezés:</w:t>
            </w:r>
            <w:r w:rsidR="00F23471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</w:t>
            </w:r>
            <w:r w:rsidR="00F23471" w:rsidRPr="00F2347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a biztosított ingó vagyontárgyak biztosított telephelyek közötti áthelyezésének engedélyezése (igen/nem)</w:t>
            </w:r>
            <w:r w:rsidRPr="000171D7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/ Súlyszám</w:t>
            </w:r>
            <w:r w:rsidR="00F23471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: </w:t>
            </w:r>
            <w:r w:rsidR="00F23471" w:rsidRPr="00F2347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10</w:t>
            </w:r>
          </w:p>
          <w:p w:rsidR="007E293B" w:rsidRPr="000171D7" w:rsidRDefault="007E293B" w:rsidP="007E293B">
            <w:pPr>
              <w:spacing w:before="120" w:after="120"/>
              <w:ind w:left="265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0171D7">
              <w:rPr>
                <w:rFonts w:ascii="Wingdings" w:eastAsia="Times New Roman" w:hAnsi="Wingdings"/>
                <w:sz w:val="18"/>
                <w:szCs w:val="18"/>
                <w:u w:val="wave"/>
              </w:rPr>
              <w:t></w:t>
            </w:r>
            <w:r w:rsidRPr="000171D7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Költség szempont - Megnevezés: / Súlyszám:</w:t>
            </w:r>
            <w:r w:rsidRPr="000171D7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  <w:t>1 3</w:t>
            </w:r>
          </w:p>
          <w:p w:rsidR="007E293B" w:rsidRPr="00F77147" w:rsidRDefault="00457188" w:rsidP="007E293B">
            <w:pPr>
              <w:spacing w:before="120" w:after="120"/>
              <w:ind w:left="265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0171D7">
              <w:rPr>
                <w:rFonts w:ascii="Wingdings" w:eastAsia="Times New Roman" w:hAnsi="Wingdings"/>
                <w:sz w:val="18"/>
                <w:szCs w:val="18"/>
                <w:u w:val="wave"/>
              </w:rPr>
              <w:t></w:t>
            </w:r>
            <w:r w:rsidR="007E293B" w:rsidRPr="000171D7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>Ár szempont - Megnevezés:</w:t>
            </w:r>
            <w:r w:rsidRPr="000171D7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</w:t>
            </w:r>
            <w:r w:rsidRPr="000171D7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éves biztosítási díj</w:t>
            </w:r>
            <w:r w:rsidR="007E293B" w:rsidRPr="000171D7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/ Súlyszám:</w:t>
            </w:r>
            <w:r w:rsidRPr="000171D7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</w:t>
            </w:r>
            <w:r w:rsidRPr="000171D7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70</w:t>
            </w:r>
            <w:r w:rsidRPr="000171D7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</w:t>
            </w:r>
          </w:p>
        </w:tc>
      </w:tr>
    </w:tbl>
    <w:p w:rsidR="007E293B" w:rsidRPr="00F23471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F23471">
        <w:rPr>
          <w:rFonts w:ascii="Times New Roman" w:eastAsia="Times New Roman" w:hAnsi="Times New Roman"/>
          <w:b/>
          <w:bCs/>
          <w:sz w:val="28"/>
          <w:szCs w:val="28"/>
          <w:u w:val="wave"/>
        </w:rPr>
        <w:t>IV</w:t>
      </w:r>
      <w:r w:rsidRPr="00F23471">
        <w:rPr>
          <w:rFonts w:ascii="Times New Roman" w:eastAsia="Times New Roman" w:hAnsi="Times New Roman"/>
          <w:b/>
          <w:bCs/>
          <w:sz w:val="28"/>
          <w:szCs w:val="28"/>
        </w:rPr>
        <w:t>. szakasz: Jogi információ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F23471">
        <w:rPr>
          <w:rFonts w:ascii="Times New Roman" w:eastAsia="Times New Roman" w:hAnsi="Times New Roman"/>
          <w:b/>
          <w:bCs/>
          <w:u w:val="wave"/>
        </w:rPr>
        <w:t>IV</w:t>
      </w:r>
      <w:r w:rsidRPr="00F23471">
        <w:rPr>
          <w:rFonts w:ascii="Times New Roman" w:eastAsia="Times New Roman" w:hAnsi="Times New Roman"/>
          <w:b/>
          <w:bCs/>
        </w:rPr>
        <w:t>.1) Részvételi feltételek</w:t>
      </w:r>
    </w:p>
    <w:tbl>
      <w:tblPr>
        <w:tblW w:w="9619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9"/>
      </w:tblGrid>
      <w:tr w:rsidR="007E293B" w:rsidRPr="007E293B" w:rsidTr="00AC7672">
        <w:tc>
          <w:tcPr>
            <w:tcW w:w="9619" w:type="dxa"/>
            <w:hideMark/>
          </w:tcPr>
          <w:p w:rsid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  <w:vertAlign w:val="superscript"/>
              </w:rPr>
            </w:pPr>
            <w:r w:rsidRPr="00F2347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 xml:space="preserve">IV.1.1) Alkalmassági </w:t>
            </w:r>
            <w:proofErr w:type="gramStart"/>
            <w:r w:rsidRPr="00F2347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minimumkövetelmény(</w:t>
            </w:r>
            <w:proofErr w:type="spellStart"/>
            <w:proofErr w:type="gramEnd"/>
            <w:r w:rsidRPr="00F2347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ek</w:t>
            </w:r>
            <w:proofErr w:type="spellEnd"/>
            <w:r w:rsidRPr="00F2347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):</w:t>
            </w:r>
            <w:r w:rsidRPr="00F2347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  <w:vertAlign w:val="superscript"/>
              </w:rPr>
              <w:t>2</w:t>
            </w:r>
          </w:p>
          <w:p w:rsidR="008B1F9B" w:rsidRDefault="008B1F9B" w:rsidP="00F23471">
            <w:pPr>
              <w:pStyle w:val="Szvegtrzs"/>
              <w:shd w:val="clear" w:color="auto" w:fill="auto"/>
              <w:tabs>
                <w:tab w:val="left" w:pos="394"/>
              </w:tabs>
              <w:spacing w:line="240" w:lineRule="auto"/>
              <w:ind w:left="79" w:right="80" w:firstLine="0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  <w:r w:rsidRPr="008B1F9B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Kizáró okok:</w:t>
            </w:r>
          </w:p>
          <w:p w:rsidR="008B1F9B" w:rsidRPr="008B1F9B" w:rsidRDefault="008B1F9B" w:rsidP="00F23471">
            <w:pPr>
              <w:pStyle w:val="Szvegtrzs"/>
              <w:shd w:val="clear" w:color="auto" w:fill="auto"/>
              <w:tabs>
                <w:tab w:val="left" w:pos="394"/>
              </w:tabs>
              <w:spacing w:line="240" w:lineRule="auto"/>
              <w:ind w:left="79" w:right="80" w:firstLine="0"/>
              <w:rPr>
                <w:rFonts w:eastAsia="Times New Roman"/>
                <w:b/>
                <w:bCs/>
                <w:sz w:val="18"/>
                <w:szCs w:val="18"/>
                <w:u w:val="single"/>
              </w:rPr>
            </w:pPr>
          </w:p>
          <w:p w:rsidR="00F23471" w:rsidRDefault="00F23471" w:rsidP="00F23471">
            <w:pPr>
              <w:pStyle w:val="Szvegtrzs"/>
              <w:shd w:val="clear" w:color="auto" w:fill="auto"/>
              <w:tabs>
                <w:tab w:val="left" w:pos="394"/>
              </w:tabs>
              <w:spacing w:line="240" w:lineRule="auto"/>
              <w:ind w:left="79" w:right="80" w:firstLine="0"/>
              <w:rPr>
                <w:rFonts w:eastAsia="Times New Roman"/>
                <w:bCs/>
                <w:sz w:val="18"/>
                <w:szCs w:val="18"/>
                <w:u w:val="wave"/>
              </w:rPr>
            </w:pPr>
            <w:r>
              <w:rPr>
                <w:rFonts w:eastAsia="Times New Roman"/>
                <w:bCs/>
                <w:sz w:val="18"/>
                <w:szCs w:val="18"/>
                <w:u w:val="wave"/>
              </w:rPr>
              <w:t xml:space="preserve">Az eljárásban nem lehet részvételre jelentkező, alvállalkozó vagy alkalmasságot igazoló szervezet, akivel szemben a Kbt. </w:t>
            </w:r>
            <w:r w:rsidRPr="00F23471">
              <w:rPr>
                <w:rFonts w:eastAsia="Times New Roman"/>
                <w:bCs/>
                <w:sz w:val="18"/>
                <w:szCs w:val="18"/>
                <w:u w:val="wave"/>
              </w:rPr>
              <w:t>62. § (1) bekezdés g)</w:t>
            </w:r>
            <w:proofErr w:type="spellStart"/>
            <w:r w:rsidRPr="00F23471">
              <w:rPr>
                <w:rFonts w:eastAsia="Times New Roman"/>
                <w:bCs/>
                <w:sz w:val="18"/>
                <w:szCs w:val="18"/>
                <w:u w:val="wave"/>
              </w:rPr>
              <w:t>-k</w:t>
            </w:r>
            <w:proofErr w:type="spellEnd"/>
            <w:r w:rsidRPr="00F23471">
              <w:rPr>
                <w:rFonts w:eastAsia="Times New Roman"/>
                <w:bCs/>
                <w:sz w:val="18"/>
                <w:szCs w:val="18"/>
                <w:u w:val="wave"/>
              </w:rPr>
              <w:t>) és m), valamint q) pontjában meghatározott kizáró okok valamelyike fennáll.</w:t>
            </w:r>
          </w:p>
          <w:p w:rsidR="00F23471" w:rsidRDefault="00F23471" w:rsidP="00F23471">
            <w:pPr>
              <w:pStyle w:val="Szvegtrzs"/>
              <w:shd w:val="clear" w:color="auto" w:fill="auto"/>
              <w:tabs>
                <w:tab w:val="left" w:pos="394"/>
              </w:tabs>
              <w:spacing w:line="240" w:lineRule="auto"/>
              <w:ind w:left="79" w:right="80" w:firstLine="0"/>
              <w:rPr>
                <w:rFonts w:eastAsia="Times New Roman"/>
                <w:bCs/>
                <w:sz w:val="18"/>
                <w:szCs w:val="18"/>
                <w:u w:val="wave"/>
              </w:rPr>
            </w:pPr>
          </w:p>
          <w:p w:rsidR="00F23471" w:rsidRPr="00F23471" w:rsidRDefault="00F23471" w:rsidP="00F23471">
            <w:pPr>
              <w:pStyle w:val="Szvegtrzs"/>
              <w:shd w:val="clear" w:color="auto" w:fill="auto"/>
              <w:tabs>
                <w:tab w:val="left" w:pos="394"/>
              </w:tabs>
              <w:spacing w:line="240" w:lineRule="auto"/>
              <w:ind w:left="79" w:right="80" w:firstLine="0"/>
              <w:rPr>
                <w:sz w:val="18"/>
                <w:szCs w:val="18"/>
                <w:u w:val="single"/>
                <w:lang w:eastAsia="hu-HU"/>
              </w:rPr>
            </w:pPr>
            <w:r w:rsidRPr="00F23471">
              <w:rPr>
                <w:sz w:val="18"/>
                <w:szCs w:val="18"/>
                <w:u w:val="single"/>
                <w:lang w:eastAsia="hu-HU"/>
              </w:rPr>
              <w:t xml:space="preserve">Megkövetelt igazolási mód: </w:t>
            </w:r>
          </w:p>
          <w:p w:rsidR="00F23471" w:rsidRPr="00F23471" w:rsidRDefault="00F23471" w:rsidP="00F23471">
            <w:pPr>
              <w:spacing w:before="100" w:beforeAutospacing="1" w:after="100" w:afterAutospacing="1"/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A részvételre jelentkezőnek részvételi jelentkezésében</w:t>
            </w:r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 xml:space="preserve"> egyszerű nyilatkozatot kell benyújtania arról, hogy nem tartozik a</w:t>
            </w:r>
            <w:r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 xml:space="preserve"> részvételi</w:t>
            </w:r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 xml:space="preserve"> felhívásban előírt kizáró okok hatálya alá, valamint a Kbt. 62. § (1) bekezdés k) pont 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kb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 xml:space="preserve">) alpontjában foglaltakat a közbeszerzési eljárásokban az alkalmasság és a kizáró okok igazolásának, valamint a közbeszerzési műszaki leírás meghatározásának módjáról szóló 321/2015. (X. 30.) Korm. rendelet 8. § i) pont 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ib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 xml:space="preserve">) alpontja és a 10. § g) pont 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gb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 xml:space="preserve">) alpontjában foglaltak szerint kell igazolnia. Az egységes európai közbeszerzési dokumentum nem alkalmazandó, azonban az ajánlatkérő köteles elfogadni, ha </w:t>
            </w:r>
            <w:r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a részvételre jelentkező</w:t>
            </w:r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 xml:space="preserve"> a 321/2015. (X.30.) Korm. rendelet 7. §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-a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 xml:space="preserve"> szerinti - korábbi közbeszerzési eljárásban felhasznált - egységes európai közbeszerzési dokumentumot nyújt be, feltéve, hogy az abban foglalt információk megfelelnek a valóságnak, és tartalmazzák az ajánlatkérő által a kizáró okok igazolása tekintetében megkövetelt információkat. Az egységes európai közbeszerzési dokumentumban foglalt információk valóságtartalmáért </w:t>
            </w:r>
            <w:r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a részvételre jelentkező</w:t>
            </w:r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 xml:space="preserve"> felel a 321/2015. (X.30.) Korm. rendelet 17.§ (1) bekezdése szerint.</w:t>
            </w:r>
          </w:p>
          <w:p w:rsidR="00F23471" w:rsidRPr="00F23471" w:rsidRDefault="00F23471" w:rsidP="00F23471">
            <w:pPr>
              <w:spacing w:before="100" w:beforeAutospacing="1" w:after="100" w:afterAutospacing="1"/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 xml:space="preserve">A 321/2015. (X. 30.) Korm. rendelet 8.§ i) pont 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ib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) alpontja: „</w:t>
            </w:r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a Kbt. 62. § (1) bekezdés k) pont 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kb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) alpontja tekintetében </w:t>
            </w:r>
            <w:r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a részvételre jelentkező</w:t>
            </w:r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nyilatkozata arról, hogy olyan társaságnak minősül-e, melyet nem jegyeznek szabályozott tőzsdén, vagy amelyet szabályozott tőzsdén jegyeznek; ha </w:t>
            </w:r>
            <w:r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a részvételre jelentkezőt</w:t>
            </w:r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nem jegyzik szabályozott tőzsdén, akkor a pénzmosás és a terrorizmus finanszírozása megelőzéséről és megakadályozásáról szóló 2007. évi CXXXVI. törvény (a továbbiakban: pénzmosásról szóló törvény) 3. § r) pont 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ra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-rb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) vagy 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rc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-rd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) alpontja szerint definiált valamennyi tényleges tulajdonos nevének és állandó lakóhelyének bemutatását tartalmazó nyilatkozatot szükséges benyújtani; ha a gazdasági szereplőnek nincs a pénzmosásról szóló törvény 3. § r) pont 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ra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-rb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) vagy 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rc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-rd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) alpontja szerinti tényleges tulajdonosa, úgy erre vonatkozó nyilatkozatot szükséges csatolni;”</w:t>
            </w:r>
          </w:p>
          <w:p w:rsidR="00F23471" w:rsidRPr="00F23471" w:rsidRDefault="00F23471" w:rsidP="00F23471">
            <w:pPr>
              <w:spacing w:before="100" w:beforeAutospacing="1" w:after="100" w:afterAutospacing="1"/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A </w:t>
            </w:r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 xml:space="preserve">321/2015. (X. 30.) Korm. rendelet </w:t>
            </w:r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10.§ g) pont 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gb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) alpont: „Nem Magyarországon letelepedett </w:t>
            </w:r>
            <w:r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részvételre jelentkező</w:t>
            </w:r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esetén: a Kbt. 62. § (1) bekezdés </w:t>
            </w:r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 xml:space="preserve">k) </w:t>
            </w:r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pont 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kb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 xml:space="preserve">) </w:t>
            </w:r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alpontja tekintetében </w:t>
            </w:r>
            <w:r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a</w:t>
            </w:r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részvételre jelentkező nyilatkozata arról, hogy olyan társaságnak minősül-e, melyet nem jegyeznek szabályozott tőzsdén</w:t>
            </w:r>
            <w:r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,</w:t>
            </w:r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vagy amelyet szabályozott tőzsdén jegyeznek; ha </w:t>
            </w:r>
            <w:r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a</w:t>
            </w:r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részvételre jelentkezőt nem </w:t>
            </w:r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lastRenderedPageBreak/>
              <w:t xml:space="preserve">jegyzik szabályozott tőzsdén, akkor a pénzmosásról szóló törvény 3. § </w:t>
            </w:r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 xml:space="preserve">r) </w:t>
            </w:r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pont 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ra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)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-rb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 xml:space="preserve">) </w:t>
            </w:r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vagy 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rc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)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-rd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 xml:space="preserve">) </w:t>
            </w:r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alpontja szerint definiált valamennyi tényleges tulajdonos nevének és állandó lakóhelyének bemutatását tartalmazó nyilatkozatot szükséges benyújtani; ha a gazdasági szereplőnek nincs a pénzmosásról szóló törvény 3. § </w:t>
            </w:r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 xml:space="preserve">r) </w:t>
            </w:r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pont 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ra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)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-rb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 xml:space="preserve">) </w:t>
            </w:r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vagy 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rc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)</w:t>
            </w:r>
            <w:proofErr w:type="spellStart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>-rd</w:t>
            </w:r>
            <w:proofErr w:type="spellEnd"/>
            <w:r w:rsidRPr="00F23471">
              <w:rPr>
                <w:rStyle w:val="SzvegtrzsChar"/>
                <w:rFonts w:ascii="Times New Roman" w:hAnsi="Times New Roman"/>
                <w:sz w:val="18"/>
                <w:szCs w:val="18"/>
                <w:lang w:eastAsia="en-US"/>
              </w:rPr>
              <w:t xml:space="preserve">) </w:t>
            </w:r>
            <w:r w:rsidRPr="00F23471">
              <w:rPr>
                <w:rStyle w:val="SzvegtrzsChar"/>
                <w:rFonts w:ascii="Times New Roman" w:hAnsi="Times New Roman"/>
                <w:i/>
                <w:sz w:val="18"/>
                <w:szCs w:val="18"/>
                <w:lang w:eastAsia="en-US"/>
              </w:rPr>
              <w:t>alpontja szerinti tényleges tulajdonosa, úgy erre vonatkozó nyilatkozatot szükséges csatolni”</w:t>
            </w:r>
          </w:p>
          <w:p w:rsidR="00F23471" w:rsidRPr="00F23471" w:rsidRDefault="00F23471" w:rsidP="00F23471">
            <w:pPr>
              <w:pStyle w:val="Szvegtrzs"/>
              <w:shd w:val="clear" w:color="auto" w:fill="auto"/>
              <w:tabs>
                <w:tab w:val="left" w:pos="2609"/>
              </w:tabs>
              <w:spacing w:line="240" w:lineRule="auto"/>
              <w:ind w:right="40" w:firstLine="0"/>
              <w:rPr>
                <w:sz w:val="18"/>
                <w:szCs w:val="18"/>
              </w:rPr>
            </w:pPr>
            <w:r w:rsidRPr="00F23471">
              <w:rPr>
                <w:sz w:val="18"/>
                <w:szCs w:val="18"/>
                <w:lang w:eastAsia="hu-HU"/>
              </w:rPr>
              <w:t xml:space="preserve">Az ajánlatkérő a </w:t>
            </w:r>
            <w:r w:rsidRPr="00F23471">
              <w:rPr>
                <w:rStyle w:val="SzvegtrzsChar"/>
                <w:sz w:val="18"/>
                <w:szCs w:val="18"/>
              </w:rPr>
              <w:t>321/2015. (X. 30.) Korm. rendelet</w:t>
            </w:r>
            <w:r w:rsidRPr="00F23471">
              <w:rPr>
                <w:sz w:val="18"/>
                <w:szCs w:val="18"/>
                <w:lang w:eastAsia="hu-HU"/>
              </w:rPr>
              <w:t>ben részletezettek szerint ellenőrzi továbbá a kizáró ok hiányát a rendelkezésre álló elektronikus nyilvántartásokból is.</w:t>
            </w:r>
          </w:p>
          <w:p w:rsidR="00F23471" w:rsidRPr="00F23471" w:rsidRDefault="00F23471" w:rsidP="00F23471">
            <w:pPr>
              <w:pStyle w:val="Szvegtrzs"/>
              <w:shd w:val="clear" w:color="auto" w:fill="auto"/>
              <w:tabs>
                <w:tab w:val="left" w:pos="2609"/>
              </w:tabs>
              <w:spacing w:line="240" w:lineRule="auto"/>
              <w:ind w:right="40" w:firstLine="0"/>
              <w:rPr>
                <w:color w:val="222222"/>
                <w:sz w:val="18"/>
                <w:szCs w:val="18"/>
              </w:rPr>
            </w:pPr>
          </w:p>
          <w:p w:rsidR="00F23471" w:rsidRPr="00F23471" w:rsidRDefault="00F23471" w:rsidP="00F23471">
            <w:pPr>
              <w:pStyle w:val="Szvegtrzs"/>
              <w:shd w:val="clear" w:color="auto" w:fill="auto"/>
              <w:tabs>
                <w:tab w:val="left" w:pos="342"/>
              </w:tabs>
              <w:spacing w:line="240" w:lineRule="auto"/>
              <w:ind w:left="80" w:right="40" w:firstLine="0"/>
              <w:rPr>
                <w:rStyle w:val="SzvegtrzsChar"/>
                <w:color w:val="000000"/>
                <w:sz w:val="18"/>
                <w:szCs w:val="18"/>
              </w:rPr>
            </w:pPr>
            <w:r>
              <w:rPr>
                <w:rStyle w:val="SzvegtrzsChar"/>
                <w:color w:val="000000"/>
                <w:sz w:val="18"/>
                <w:szCs w:val="18"/>
              </w:rPr>
              <w:t xml:space="preserve">A részvételre jelentkezőnek </w:t>
            </w:r>
            <w:r w:rsidRPr="00F23471">
              <w:rPr>
                <w:rStyle w:val="SzvegtrzsChar"/>
                <w:color w:val="000000"/>
                <w:sz w:val="18"/>
                <w:szCs w:val="18"/>
              </w:rPr>
              <w:t>a Kbt. 67. § (4) bekezdésében és a 321/2015. (X.30.) Korm. rendelet 17.§ (2) bekezdésében előírtak szerint kell nyilatkoznia arról, hogy a szerződés teljesítése során nem vesz igénybe a Kbt. 62.§ (1) g)</w:t>
            </w:r>
            <w:proofErr w:type="spellStart"/>
            <w:r w:rsidRPr="00F23471">
              <w:rPr>
                <w:rStyle w:val="SzvegtrzsChar"/>
                <w:color w:val="000000"/>
                <w:sz w:val="18"/>
                <w:szCs w:val="18"/>
              </w:rPr>
              <w:t>-k</w:t>
            </w:r>
            <w:proofErr w:type="spellEnd"/>
            <w:r w:rsidRPr="00F23471">
              <w:rPr>
                <w:rStyle w:val="SzvegtrzsChar"/>
                <w:color w:val="000000"/>
                <w:sz w:val="18"/>
                <w:szCs w:val="18"/>
              </w:rPr>
              <w:t>) és m) és q) pontja szerinti kizáró okok hatálya alá tartozó alvállalkozót.</w:t>
            </w:r>
            <w:r>
              <w:rPr>
                <w:rStyle w:val="SzvegtrzsChar"/>
                <w:color w:val="000000"/>
                <w:sz w:val="18"/>
                <w:szCs w:val="18"/>
              </w:rPr>
              <w:t xml:space="preserve"> </w:t>
            </w:r>
            <w:r w:rsidRPr="00F23471">
              <w:rPr>
                <w:rStyle w:val="SzvegtrzsChar"/>
                <w:color w:val="000000"/>
                <w:sz w:val="18"/>
                <w:szCs w:val="18"/>
              </w:rPr>
              <w:t>A nyilatkozatot akkor is be kell nyújtani, ha az ajánlatkérő az eljárásban nem írta elő a már ismert alvállalkozók megnevezését.</w:t>
            </w:r>
          </w:p>
          <w:p w:rsidR="00F23471" w:rsidRPr="00F23471" w:rsidRDefault="00F23471" w:rsidP="00F23471">
            <w:pPr>
              <w:pStyle w:val="Szvegtrzs"/>
              <w:shd w:val="clear" w:color="auto" w:fill="auto"/>
              <w:tabs>
                <w:tab w:val="left" w:pos="342"/>
              </w:tabs>
              <w:spacing w:line="240" w:lineRule="auto"/>
              <w:ind w:left="80" w:right="40" w:firstLine="0"/>
              <w:rPr>
                <w:rStyle w:val="SzvegtrzsChar"/>
                <w:color w:val="000000"/>
                <w:sz w:val="18"/>
                <w:szCs w:val="18"/>
              </w:rPr>
            </w:pPr>
          </w:p>
          <w:p w:rsidR="00F23471" w:rsidRPr="00F23471" w:rsidRDefault="00F23471" w:rsidP="00F23471">
            <w:pPr>
              <w:pStyle w:val="Szvegtrzs"/>
              <w:shd w:val="clear" w:color="auto" w:fill="auto"/>
              <w:tabs>
                <w:tab w:val="left" w:pos="342"/>
              </w:tabs>
              <w:spacing w:line="240" w:lineRule="auto"/>
              <w:ind w:right="40" w:firstLine="0"/>
              <w:rPr>
                <w:sz w:val="18"/>
                <w:szCs w:val="18"/>
              </w:rPr>
            </w:pPr>
            <w:r w:rsidRPr="00F23471">
              <w:rPr>
                <w:rStyle w:val="SzvegtrzsChar"/>
                <w:color w:val="000000"/>
                <w:sz w:val="18"/>
                <w:szCs w:val="18"/>
              </w:rPr>
              <w:t>A kizáró okokra vonatkozó nyilatkozatoknak a</w:t>
            </w:r>
            <w:r>
              <w:rPr>
                <w:rStyle w:val="SzvegtrzsChar"/>
                <w:color w:val="000000"/>
                <w:sz w:val="18"/>
                <w:szCs w:val="18"/>
              </w:rPr>
              <w:t xml:space="preserve"> részvételi</w:t>
            </w:r>
            <w:r w:rsidRPr="00F23471">
              <w:rPr>
                <w:rStyle w:val="SzvegtrzsChar"/>
                <w:color w:val="000000"/>
                <w:sz w:val="18"/>
                <w:szCs w:val="18"/>
              </w:rPr>
              <w:t xml:space="preserve"> felhívás megküldésénél nem régebbi keltezésűnek kell lenniük.</w:t>
            </w:r>
          </w:p>
          <w:p w:rsidR="00F23471" w:rsidRPr="00F23471" w:rsidRDefault="00F23471" w:rsidP="00F23471">
            <w:pPr>
              <w:pStyle w:val="standard"/>
              <w:spacing w:before="0" w:after="0" w:line="240" w:lineRule="auto"/>
              <w:jc w:val="both"/>
              <w:rPr>
                <w:color w:val="auto"/>
                <w:sz w:val="18"/>
                <w:szCs w:val="18"/>
                <w:highlight w:val="yellow"/>
              </w:rPr>
            </w:pPr>
          </w:p>
          <w:p w:rsidR="00F23471" w:rsidRDefault="00F23471" w:rsidP="00F23471">
            <w:pPr>
              <w:pStyle w:val="standard"/>
              <w:spacing w:before="0" w:after="0" w:line="240" w:lineRule="auto"/>
              <w:jc w:val="both"/>
              <w:rPr>
                <w:sz w:val="18"/>
                <w:szCs w:val="18"/>
                <w:lang w:eastAsia="hu-HU"/>
              </w:rPr>
            </w:pPr>
            <w:r w:rsidRPr="00F23471">
              <w:rPr>
                <w:color w:val="auto"/>
                <w:sz w:val="18"/>
                <w:szCs w:val="18"/>
              </w:rPr>
              <w:t xml:space="preserve">A kizáró okok igazolására egyebekben a </w:t>
            </w:r>
            <w:r w:rsidRPr="00F23471">
              <w:rPr>
                <w:sz w:val="18"/>
                <w:szCs w:val="18"/>
                <w:lang w:eastAsia="hu-HU"/>
              </w:rPr>
              <w:t>321/2015 (X.30.) Korm. rendelet rendelkezései az irányadóak.</w:t>
            </w:r>
          </w:p>
          <w:p w:rsidR="00801327" w:rsidRDefault="00801327" w:rsidP="00F23471">
            <w:pPr>
              <w:pStyle w:val="standard"/>
              <w:spacing w:before="0" w:after="0" w:line="240" w:lineRule="auto"/>
              <w:jc w:val="both"/>
              <w:rPr>
                <w:sz w:val="18"/>
                <w:szCs w:val="18"/>
                <w:lang w:eastAsia="hu-HU"/>
              </w:rPr>
            </w:pPr>
          </w:p>
          <w:p w:rsidR="00801327" w:rsidRDefault="00801327" w:rsidP="00801327">
            <w:pPr>
              <w:spacing w:before="120" w:after="120"/>
              <w:jc w:val="left"/>
              <w:rPr>
                <w:rStyle w:val="SzvegtrzsChar"/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01327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/>
              </w:rPr>
              <w:t>SZ1.</w:t>
            </w:r>
            <w:r w:rsidRPr="00801327">
              <w:rPr>
                <w:rStyle w:val="SzvegtrzsChar"/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801327">
              <w:rPr>
                <w:rStyle w:val="SzvegtrzsChar"/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Alkalmas a jelentkező, ha rendelkezik MNB Felügyeleti engedéllyel.</w:t>
            </w:r>
          </w:p>
          <w:p w:rsidR="00801327" w:rsidRPr="00801327" w:rsidRDefault="00801327" w:rsidP="00801327">
            <w:pPr>
              <w:spacing w:before="120" w:after="120"/>
              <w:jc w:val="left"/>
              <w:rPr>
                <w:rStyle w:val="SzvegtrzsChar"/>
                <w:rFonts w:ascii="Times New Roman" w:hAnsi="Times New Roman"/>
                <w:color w:val="000000"/>
                <w:sz w:val="18"/>
                <w:szCs w:val="18"/>
                <w:u w:val="single"/>
                <w:lang w:eastAsia="en-US"/>
              </w:rPr>
            </w:pPr>
            <w:r w:rsidRPr="00801327">
              <w:rPr>
                <w:rStyle w:val="SzvegtrzsChar"/>
                <w:rFonts w:ascii="Times New Roman" w:hAnsi="Times New Roman"/>
                <w:color w:val="000000"/>
                <w:sz w:val="18"/>
                <w:szCs w:val="18"/>
                <w:u w:val="single"/>
                <w:lang w:eastAsia="en-US"/>
              </w:rPr>
              <w:t>Igazolási mód:</w:t>
            </w:r>
          </w:p>
          <w:p w:rsidR="00801327" w:rsidRPr="00F23471" w:rsidRDefault="00801327" w:rsidP="00F23471">
            <w:pPr>
              <w:pStyle w:val="standard"/>
              <w:spacing w:before="0"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077E90">
              <w:rPr>
                <w:sz w:val="18"/>
                <w:szCs w:val="18"/>
                <w:lang w:eastAsia="hu-HU"/>
              </w:rPr>
              <w:t>Kérjük</w:t>
            </w:r>
            <w:r>
              <w:rPr>
                <w:sz w:val="18"/>
                <w:szCs w:val="18"/>
                <w:lang w:eastAsia="hu-HU"/>
              </w:rPr>
              <w:t>, a részvételre jelentkező</w:t>
            </w:r>
            <w:r w:rsidRPr="00077E90">
              <w:rPr>
                <w:sz w:val="18"/>
                <w:szCs w:val="18"/>
                <w:lang w:eastAsia="hu-HU"/>
              </w:rPr>
              <w:t xml:space="preserve"> csatolja MNB felügyeleti engedélyének egyszerű másolatát a jelentkezéshez, vagy adja meg az elektronikus hatósági nyilvántartás elérhetőségét, ahol az ajánlatkérő ellenőrizni tudja az engedély meglétét.</w:t>
            </w:r>
          </w:p>
          <w:p w:rsidR="00F23471" w:rsidRPr="00F23471" w:rsidRDefault="00F23471" w:rsidP="00F23471">
            <w:pPr>
              <w:pStyle w:val="Szvegtrzs"/>
              <w:shd w:val="clear" w:color="auto" w:fill="auto"/>
              <w:tabs>
                <w:tab w:val="left" w:pos="394"/>
              </w:tabs>
              <w:spacing w:line="240" w:lineRule="auto"/>
              <w:ind w:left="79" w:right="80" w:firstLine="0"/>
              <w:rPr>
                <w:rFonts w:eastAsia="Times New Roman"/>
                <w:bCs/>
                <w:sz w:val="18"/>
                <w:szCs w:val="18"/>
                <w:u w:val="wave"/>
              </w:rPr>
            </w:pPr>
          </w:p>
          <w:p w:rsidR="008B1F9B" w:rsidRPr="008B1F9B" w:rsidRDefault="008B1F9B" w:rsidP="008B1F9B">
            <w:pPr>
              <w:tabs>
                <w:tab w:val="left" w:pos="162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B1F9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Pénzügyi-gazdasági alkalmassági követelmény:</w:t>
            </w:r>
          </w:p>
          <w:p w:rsidR="008B1F9B" w:rsidRDefault="008B1F9B" w:rsidP="008B1F9B">
            <w:pPr>
              <w:tabs>
                <w:tab w:val="left" w:pos="162"/>
              </w:tabs>
              <w:rPr>
                <w:rFonts w:ascii="Times New Roman" w:hAnsi="Times New Roman"/>
                <w:sz w:val="18"/>
                <w:szCs w:val="18"/>
              </w:rPr>
            </w:pPr>
            <w:r w:rsidRPr="008B1F9B">
              <w:rPr>
                <w:rFonts w:ascii="Times New Roman" w:hAnsi="Times New Roman"/>
                <w:sz w:val="18"/>
                <w:szCs w:val="18"/>
              </w:rPr>
              <w:t xml:space="preserve">P1. Alkalmas </w:t>
            </w:r>
            <w:r>
              <w:rPr>
                <w:rFonts w:ascii="Times New Roman" w:hAnsi="Times New Roman"/>
                <w:sz w:val="18"/>
                <w:szCs w:val="18"/>
              </w:rPr>
              <w:t>a részvételre jelentkező</w:t>
            </w:r>
            <w:r w:rsidRPr="008B1F9B">
              <w:rPr>
                <w:rFonts w:ascii="Times New Roman" w:hAnsi="Times New Roman"/>
                <w:sz w:val="18"/>
                <w:szCs w:val="18"/>
              </w:rPr>
              <w:t>, ha 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részvételi</w:t>
            </w:r>
            <w:r w:rsidRPr="008B1F9B">
              <w:rPr>
                <w:rFonts w:ascii="Times New Roman" w:hAnsi="Times New Roman"/>
                <w:sz w:val="18"/>
                <w:szCs w:val="18"/>
              </w:rPr>
              <w:t xml:space="preserve"> felhívás megküldését megelőző három mérlegforduló nappal lezárt üzleti évben rendelkezik összesen legalább nettó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49 millió </w:t>
            </w:r>
            <w:r w:rsidRPr="008B1F9B">
              <w:rPr>
                <w:rFonts w:ascii="Times New Roman" w:hAnsi="Times New Roman"/>
                <w:sz w:val="18"/>
                <w:szCs w:val="18"/>
              </w:rPr>
              <w:t>Ft közbeszerzés tárgya szerinti (</w:t>
            </w:r>
            <w:r>
              <w:rPr>
                <w:rFonts w:ascii="Times New Roman" w:hAnsi="Times New Roman"/>
                <w:sz w:val="18"/>
                <w:szCs w:val="18"/>
              </w:rPr>
              <w:t>biztosítási szolgáltatás</w:t>
            </w:r>
            <w:r w:rsidRPr="008B1F9B">
              <w:rPr>
                <w:rFonts w:ascii="Times New Roman" w:hAnsi="Times New Roman"/>
                <w:sz w:val="18"/>
                <w:szCs w:val="18"/>
              </w:rPr>
              <w:t>) árbevétellel.</w:t>
            </w:r>
          </w:p>
          <w:p w:rsidR="008B1F9B" w:rsidRPr="008B1F9B" w:rsidRDefault="008B1F9B" w:rsidP="008B1F9B">
            <w:pPr>
              <w:tabs>
                <w:tab w:val="left" w:pos="162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8B1F9B" w:rsidRPr="008B1F9B" w:rsidRDefault="008B1F9B" w:rsidP="008B1F9B">
            <w:pPr>
              <w:tabs>
                <w:tab w:val="left" w:pos="162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B1F9B">
              <w:rPr>
                <w:rFonts w:ascii="Times New Roman" w:hAnsi="Times New Roman"/>
                <w:sz w:val="18"/>
                <w:szCs w:val="18"/>
                <w:u w:val="single"/>
              </w:rPr>
              <w:t>Igazolási mód:</w:t>
            </w:r>
          </w:p>
          <w:p w:rsidR="008B1F9B" w:rsidRPr="008B1F9B" w:rsidRDefault="008B1F9B" w:rsidP="008B1F9B">
            <w:pPr>
              <w:tabs>
                <w:tab w:val="left" w:pos="162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8B1F9B" w:rsidRPr="008B1F9B" w:rsidRDefault="008B1F9B" w:rsidP="008B1F9B">
            <w:pPr>
              <w:tabs>
                <w:tab w:val="left" w:pos="162"/>
              </w:tabs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</w:pPr>
            <w:r w:rsidRPr="008B1F9B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Az alkalmassági követelmény igazolható a 321/2015. (X.30.) Korm. rendelet 19.§ (1) bekezdés c) pontja alapján</w:t>
            </w:r>
            <w:r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8B1F9B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 xml:space="preserve">az előző legfeljebb három mérlegforduló nappal lezárt üzleti évre vonatkozóan kérhető, közbeszerzés tárgyából származó - általános forgalmi adó nélkül számított - árbevételéről szóló nyilatkozattal, attól függően, hogy </w:t>
            </w:r>
            <w:r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 xml:space="preserve">a részvételre jelentkező </w:t>
            </w:r>
            <w:r w:rsidRPr="008B1F9B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mikor jött létre, illetve mikor kezdte meg tevékenységét, ha ezek az adatok rendelkezésre állnak.</w:t>
            </w:r>
          </w:p>
          <w:p w:rsidR="008B1F9B" w:rsidRPr="008B1F9B" w:rsidRDefault="008B1F9B" w:rsidP="008B1F9B">
            <w:pPr>
              <w:tabs>
                <w:tab w:val="left" w:pos="162"/>
              </w:tabs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</w:pPr>
          </w:p>
          <w:p w:rsidR="008B1F9B" w:rsidRPr="008B1F9B" w:rsidRDefault="008B1F9B" w:rsidP="008B1F9B">
            <w:pPr>
              <w:tabs>
                <w:tab w:val="left" w:pos="162"/>
              </w:tabs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</w:pPr>
            <w:r w:rsidRPr="008B1F9B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 xml:space="preserve">A 321/2015. (X.30.) Korm. rendelet 19.§ (3) bekezdése alapján, ha </w:t>
            </w:r>
            <w:r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a részvételre jelentkező</w:t>
            </w:r>
            <w:r w:rsidRPr="008B1F9B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 xml:space="preserve"> az (1) bekezdés c) pontja szerinti irattal azért nem rendelkezik, mert olyan jogi formában működik, amely tekintetében az árbevételről szóló nyilatkozat benyújtása nem lehetséges, az e pontokkal kapcsolatban előírt alkalmassági követelmény és igazolási mód helyett bármely, az ajánlatkérő által megfelelőnek tekintett egyéb nyilatkozattal vagy dokumentummal igazolhatja pénzügyi és gazdasági alkalmasságát. Az érintett </w:t>
            </w:r>
            <w:r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részvételre jelentkező</w:t>
            </w:r>
            <w:r w:rsidRPr="008B1F9B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 xml:space="preserve"> kiegészítő tájékoztatás kérése során köteles alátámasztani, hogy olyan jogi formában működik, amely tekintetében az árbevételről szóló nyilatkozat benyújtása nem lehetséges és tájékoztatást kérni az e pontokkal kapcsolatban előírt alkalmassági követelmény és igazolási mód helyett az alkalmasság igazolásának ajánlatkérő által elfogadott módjáról.</w:t>
            </w:r>
          </w:p>
          <w:p w:rsidR="008B1F9B" w:rsidRPr="008B1F9B" w:rsidRDefault="008B1F9B" w:rsidP="008B1F9B">
            <w:pPr>
              <w:tabs>
                <w:tab w:val="left" w:pos="162"/>
              </w:tabs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</w:pPr>
          </w:p>
          <w:p w:rsidR="008B1F9B" w:rsidRPr="008B1F9B" w:rsidRDefault="008B1F9B" w:rsidP="008B1F9B">
            <w:pPr>
              <w:tabs>
                <w:tab w:val="left" w:pos="162"/>
              </w:tabs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</w:pPr>
            <w:r w:rsidRPr="008B1F9B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Azokban az esetekben, amelyekben a 28. §</w:t>
            </w:r>
            <w:proofErr w:type="spellStart"/>
            <w:r w:rsidRPr="008B1F9B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-ban</w:t>
            </w:r>
            <w:proofErr w:type="spellEnd"/>
            <w:r w:rsidRPr="008B1F9B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 xml:space="preserve"> és a 36. §</w:t>
            </w:r>
            <w:proofErr w:type="spellStart"/>
            <w:r w:rsidRPr="008B1F9B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-ban</w:t>
            </w:r>
            <w:proofErr w:type="spellEnd"/>
            <w:r w:rsidRPr="008B1F9B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 xml:space="preserve"> meghatározott minősített ajánlattevők hivatalos jegyzéke - figyelemmel a 30. §</w:t>
            </w:r>
            <w:proofErr w:type="spellStart"/>
            <w:r w:rsidRPr="008B1F9B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-ban</w:t>
            </w:r>
            <w:proofErr w:type="spellEnd"/>
            <w:r w:rsidRPr="008B1F9B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 xml:space="preserve"> és a 39. §</w:t>
            </w:r>
            <w:proofErr w:type="spellStart"/>
            <w:r w:rsidRPr="008B1F9B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-ban</w:t>
            </w:r>
            <w:proofErr w:type="spellEnd"/>
            <w:r w:rsidRPr="008B1F9B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 xml:space="preserve"> foglaltakra - bizonyítja, hogy a gazdasági szereplő megfelel az adott alkalmassági követelménynek, a minősített ajánlattevők elektronikusan elérhető hivatalos jegyzékén való szereplés tényét, illetve az Európai Unió egy másik tagállamában letelepedett gazdasági szereplő által benyújtott, a letelepedési helye szerinti, az elismert ajánlattevők hivatalos listáját vezető szervezettől származó jegyzék szerinti igazolást is köteles az ajánlatkérő elfogadni az (1) bekezdésben foglalt egyéb igazolási módok helyett.</w:t>
            </w:r>
          </w:p>
          <w:p w:rsidR="008B1F9B" w:rsidRPr="003D0DAA" w:rsidRDefault="008B1F9B" w:rsidP="008B1F9B">
            <w:pPr>
              <w:tabs>
                <w:tab w:val="left" w:pos="162"/>
              </w:tabs>
              <w:rPr>
                <w:rFonts w:ascii="Times New Roman" w:hAnsi="Times New Roman"/>
                <w:u w:val="single"/>
              </w:rPr>
            </w:pPr>
          </w:p>
          <w:p w:rsidR="00AC7672" w:rsidRPr="00AC7672" w:rsidRDefault="00AC7672" w:rsidP="00AC7672">
            <w:pPr>
              <w:tabs>
                <w:tab w:val="left" w:pos="162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C76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Műszaki-szakmai alkalmassági minimumkövetelmény:</w:t>
            </w:r>
          </w:p>
          <w:p w:rsidR="00AC7672" w:rsidRPr="00AC7672" w:rsidRDefault="00AC7672" w:rsidP="00AC7672">
            <w:pPr>
              <w:tabs>
                <w:tab w:val="left" w:pos="162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AC7672" w:rsidRDefault="00AC7672" w:rsidP="00AC7672">
            <w:pPr>
              <w:pStyle w:val="standard"/>
              <w:suppressAutoHyphens w:val="0"/>
              <w:spacing w:before="0" w:after="0" w:line="240" w:lineRule="auto"/>
              <w:jc w:val="both"/>
              <w:textAlignment w:val="auto"/>
              <w:rPr>
                <w:sz w:val="18"/>
                <w:szCs w:val="18"/>
              </w:rPr>
            </w:pPr>
            <w:r w:rsidRPr="00AC7672">
              <w:rPr>
                <w:sz w:val="18"/>
                <w:szCs w:val="18"/>
              </w:rPr>
              <w:t xml:space="preserve">M1. Alkalmas </w:t>
            </w:r>
            <w:r>
              <w:rPr>
                <w:sz w:val="18"/>
                <w:szCs w:val="18"/>
              </w:rPr>
              <w:t>a részvételre jelentkező</w:t>
            </w:r>
            <w:r w:rsidRPr="00AC7672">
              <w:rPr>
                <w:sz w:val="18"/>
                <w:szCs w:val="18"/>
              </w:rPr>
              <w:t>, ha a</w:t>
            </w:r>
            <w:r>
              <w:rPr>
                <w:sz w:val="18"/>
                <w:szCs w:val="18"/>
              </w:rPr>
              <w:t xml:space="preserve"> részvételi felhívás megküldését megelőző 6</w:t>
            </w:r>
            <w:r w:rsidRPr="00AC7672">
              <w:rPr>
                <w:sz w:val="18"/>
                <w:szCs w:val="18"/>
              </w:rPr>
              <w:t xml:space="preserve"> évben rendelkezik </w:t>
            </w:r>
            <w:r>
              <w:rPr>
                <w:sz w:val="18"/>
                <w:szCs w:val="18"/>
              </w:rPr>
              <w:t xml:space="preserve">legalább egy, </w:t>
            </w:r>
            <w:r w:rsidRPr="00F51A8D">
              <w:rPr>
                <w:sz w:val="18"/>
                <w:szCs w:val="18"/>
              </w:rPr>
              <w:t>30 milliárd</w:t>
            </w:r>
            <w:r>
              <w:rPr>
                <w:sz w:val="18"/>
                <w:szCs w:val="18"/>
              </w:rPr>
              <w:t xml:space="preserve"> Ft biztosítási összegű biztosítási szolgáltatási referenciával.</w:t>
            </w:r>
          </w:p>
          <w:p w:rsidR="00AC7672" w:rsidRDefault="00AC7672" w:rsidP="00AC7672">
            <w:pPr>
              <w:pStyle w:val="standard"/>
              <w:suppressAutoHyphens w:val="0"/>
              <w:spacing w:before="0" w:after="0" w:line="240" w:lineRule="auto"/>
              <w:jc w:val="both"/>
              <w:textAlignment w:val="auto"/>
              <w:rPr>
                <w:sz w:val="18"/>
                <w:szCs w:val="18"/>
              </w:rPr>
            </w:pPr>
          </w:p>
          <w:p w:rsidR="00AC7672" w:rsidRDefault="00AC7672" w:rsidP="00AC7672">
            <w:pPr>
              <w:pStyle w:val="standard"/>
              <w:suppressAutoHyphens w:val="0"/>
              <w:spacing w:before="0" w:after="0" w:line="240" w:lineRule="auto"/>
              <w:jc w:val="both"/>
              <w:textAlignment w:val="auto"/>
              <w:rPr>
                <w:sz w:val="18"/>
                <w:szCs w:val="18"/>
              </w:rPr>
            </w:pPr>
            <w:r w:rsidRPr="00AC7672">
              <w:rPr>
                <w:sz w:val="18"/>
                <w:szCs w:val="18"/>
              </w:rPr>
              <w:t>A 321/2015. (X.30.) Korm. rendelet 21.§ (3a) bekezdése alapján az ajánlatkérő az ajánlatkérő a vizsgált időszak (6 év) alatt befejezett, de legfeljebb kilenc éven belül megkezdett szolgáltatás megrendeléseket veszi figyelembe.</w:t>
            </w:r>
            <w:r>
              <w:rPr>
                <w:sz w:val="18"/>
                <w:szCs w:val="18"/>
              </w:rPr>
              <w:t xml:space="preserve"> Az M1. alkalmassági követelmény egy referenciával teljesíthető, az egyes referenciákban </w:t>
            </w:r>
            <w:proofErr w:type="gramStart"/>
            <w:r>
              <w:rPr>
                <w:sz w:val="18"/>
                <w:szCs w:val="18"/>
              </w:rPr>
              <w:t>szereplő biztosítási</w:t>
            </w:r>
            <w:proofErr w:type="gramEnd"/>
            <w:r>
              <w:rPr>
                <w:sz w:val="18"/>
                <w:szCs w:val="18"/>
              </w:rPr>
              <w:t xml:space="preserve"> összegek nem adhatók össze.</w:t>
            </w:r>
          </w:p>
          <w:p w:rsidR="00AC7672" w:rsidRPr="00AC7672" w:rsidRDefault="00AC7672" w:rsidP="00AC7672">
            <w:pPr>
              <w:pStyle w:val="standard"/>
              <w:suppressAutoHyphens w:val="0"/>
              <w:spacing w:before="0" w:after="0" w:line="240" w:lineRule="auto"/>
              <w:jc w:val="both"/>
              <w:textAlignment w:val="auto"/>
              <w:rPr>
                <w:sz w:val="18"/>
                <w:szCs w:val="18"/>
              </w:rPr>
            </w:pPr>
          </w:p>
          <w:p w:rsidR="00AC7672" w:rsidRPr="00AC7672" w:rsidRDefault="00AC7672" w:rsidP="00AC7672">
            <w:pPr>
              <w:pStyle w:val="standard"/>
              <w:suppressAutoHyphens w:val="0"/>
              <w:spacing w:before="0" w:after="0" w:line="240" w:lineRule="auto"/>
              <w:jc w:val="both"/>
              <w:textAlignment w:val="auto"/>
              <w:rPr>
                <w:sz w:val="18"/>
                <w:szCs w:val="18"/>
                <w:u w:val="single"/>
              </w:rPr>
            </w:pPr>
            <w:r w:rsidRPr="00AC7672">
              <w:rPr>
                <w:sz w:val="18"/>
                <w:szCs w:val="18"/>
                <w:u w:val="single"/>
              </w:rPr>
              <w:t>Igazolási mód:</w:t>
            </w:r>
          </w:p>
          <w:p w:rsidR="00AC7672" w:rsidRPr="00AC7672" w:rsidRDefault="00AC7672" w:rsidP="00AC7672">
            <w:pPr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</w:pPr>
            <w:r w:rsidRPr="00AC7672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 xml:space="preserve">M1. A 321/2015. (X.30.) Korm. rendelet 21.§ (3) bekezdés a) pontja alapján </w:t>
            </w:r>
            <w:r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a részvételre jelentkezőnek</w:t>
            </w:r>
            <w:r w:rsidRPr="00AC7672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 xml:space="preserve"> a szerződés teljesítéséhez szükséges műszaki, illetve szakmai alkalmassága igazolható az eljárást megindító</w:t>
            </w:r>
            <w:r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 xml:space="preserve"> (részvételi)</w:t>
            </w:r>
            <w:r w:rsidRPr="00AC7672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 xml:space="preserve"> felhívás megküldésétől visszafelé számított </w:t>
            </w:r>
            <w:r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6</w:t>
            </w:r>
            <w:r w:rsidRPr="00AC7672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 xml:space="preserve"> év legjelentősebb szolgáltatásainak ismertetésével a rendelet 23. §</w:t>
            </w:r>
            <w:proofErr w:type="spellStart"/>
            <w:r w:rsidRPr="00AC7672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-a</w:t>
            </w:r>
            <w:proofErr w:type="spellEnd"/>
            <w:r w:rsidRPr="00AC7672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 xml:space="preserve"> szerint, azaz </w:t>
            </w:r>
            <w:r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a részvételre jelentkező</w:t>
            </w:r>
            <w:r w:rsidRPr="00AC7672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 xml:space="preserve">, illetve az alkalmasság igazolásában részt vevő más szervezet nyilatkozatával, vagy a szerződést kötő másik fél által adott igazolással. </w:t>
            </w:r>
          </w:p>
          <w:p w:rsidR="00AC7672" w:rsidRPr="00AC7672" w:rsidRDefault="00AC7672" w:rsidP="00AC7672">
            <w:pPr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</w:pPr>
          </w:p>
          <w:p w:rsidR="00F23471" w:rsidRPr="0081615B" w:rsidRDefault="00AC7672" w:rsidP="0081615B">
            <w:pPr>
              <w:pStyle w:val="standard"/>
              <w:suppressAutoHyphens w:val="0"/>
              <w:spacing w:before="0" w:after="0" w:line="240" w:lineRule="auto"/>
              <w:jc w:val="both"/>
              <w:textAlignment w:val="auto"/>
              <w:rPr>
                <w:sz w:val="18"/>
                <w:szCs w:val="18"/>
              </w:rPr>
            </w:pPr>
            <w:r w:rsidRPr="00AC7672">
              <w:rPr>
                <w:sz w:val="18"/>
                <w:szCs w:val="18"/>
              </w:rPr>
              <w:t>A referenciaigazolásnak vagy nyilatkozatnak tartalmaznia kell legalább az alábbi adatokat: teljesítés ideje (kezdő és befejező időpontja), a szerződést kötő másik fél neve és címe</w:t>
            </w:r>
            <w:r>
              <w:rPr>
                <w:sz w:val="18"/>
                <w:szCs w:val="18"/>
              </w:rPr>
              <w:t xml:space="preserve">, a szolgáltatás tárgya, a biztosítási összeg, </w:t>
            </w:r>
            <w:r w:rsidRPr="00AC7672">
              <w:rPr>
                <w:sz w:val="18"/>
                <w:szCs w:val="18"/>
              </w:rPr>
              <w:t>továbbá nyilatkozni kell arról, hogy a teljesítés az előírásoknak és a szerződésnek megfelelően történt-e.</w:t>
            </w:r>
          </w:p>
        </w:tc>
      </w:tr>
      <w:tr w:rsidR="007E293B" w:rsidRPr="007E293B" w:rsidTr="00AC7672">
        <w:tc>
          <w:tcPr>
            <w:tcW w:w="9619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15B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lastRenderedPageBreak/>
              <w:t>IV</w:t>
            </w:r>
            <w:r w:rsidRPr="0081615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.1.</w:t>
            </w:r>
            <w:r w:rsidRPr="0081615B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2</w:t>
            </w:r>
            <w:r w:rsidRPr="0081615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) Fenntartott</w:t>
            </w: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szerződésekre vonatkozó információk 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2</w:t>
            </w:r>
          </w:p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Wingdings" w:eastAsia="Times New Roman" w:hAnsi="Wingdings"/>
                <w:sz w:val="18"/>
                <w:szCs w:val="18"/>
              </w:rPr>
              <w:t>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A szerződés a Kbt. 114. § (11) bekezdése szerint fenntartott</w:t>
            </w:r>
          </w:p>
        </w:tc>
      </w:tr>
      <w:tr w:rsidR="007E293B" w:rsidRPr="007E293B" w:rsidTr="00AC7672">
        <w:tc>
          <w:tcPr>
            <w:tcW w:w="9619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15B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 xml:space="preserve">IV.1.3) </w:t>
            </w:r>
            <w:proofErr w:type="gramStart"/>
            <w:r w:rsidRPr="0081615B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A</w:t>
            </w:r>
            <w:proofErr w:type="gramEnd"/>
            <w:r w:rsidRPr="0081615B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 xml:space="preserve"> Kbt. 75. § (2) bekezdés e) pontjának alkalmazására vonatkozó információk:</w:t>
            </w:r>
            <w:r w:rsidR="0081615B" w:rsidRPr="0081615B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 xml:space="preserve"> Ajánlatkérő nem alkalmazza a Kbt. 75.§ (2) bekezdés e) pontját.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81615B">
        <w:rPr>
          <w:rFonts w:ascii="Times New Roman" w:eastAsia="Times New Roman" w:hAnsi="Times New Roman"/>
          <w:b/>
          <w:bCs/>
          <w:sz w:val="28"/>
          <w:szCs w:val="28"/>
          <w:u w:val="wave"/>
        </w:rPr>
        <w:t>V</w:t>
      </w:r>
      <w:r w:rsidRPr="0081615B">
        <w:rPr>
          <w:rFonts w:ascii="Times New Roman" w:eastAsia="Times New Roman" w:hAnsi="Times New Roman"/>
          <w:b/>
          <w:bCs/>
          <w:sz w:val="28"/>
          <w:szCs w:val="28"/>
        </w:rPr>
        <w:t>. szakasz: Eljárás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81615B">
        <w:rPr>
          <w:rFonts w:ascii="Times New Roman" w:eastAsia="Times New Roman" w:hAnsi="Times New Roman"/>
          <w:b/>
          <w:bCs/>
          <w:u w:val="wave"/>
        </w:rPr>
        <w:t>V</w:t>
      </w:r>
      <w:r w:rsidRPr="0081615B">
        <w:rPr>
          <w:rFonts w:ascii="Times New Roman" w:eastAsia="Times New Roman" w:hAnsi="Times New Roman"/>
          <w:b/>
          <w:bCs/>
        </w:rPr>
        <w:t>.1) Adminisztratív információk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6"/>
      </w:tblGrid>
      <w:tr w:rsidR="007E293B" w:rsidRPr="007E293B" w:rsidTr="00B31924">
        <w:tc>
          <w:tcPr>
            <w:tcW w:w="9776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15B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V</w:t>
            </w:r>
            <w:r w:rsidRPr="0081615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.1.1</w:t>
            </w: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) Az eljárás iránti érdeklődés jelzésének határideje</w:t>
            </w:r>
          </w:p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Dátum: </w:t>
            </w:r>
            <w:r w:rsidR="0081615B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(2018/03/05</w:t>
            </w:r>
            <w:r w:rsidRPr="007E293B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)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Helyi idő: </w:t>
            </w:r>
            <w:r w:rsidR="0081615B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(9:00</w:t>
            </w:r>
            <w:r w:rsidRPr="007E293B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)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7E293B">
        <w:rPr>
          <w:rFonts w:ascii="Times New Roman" w:eastAsia="Times New Roman" w:hAnsi="Times New Roman"/>
          <w:b/>
          <w:bCs/>
          <w:sz w:val="28"/>
          <w:szCs w:val="28"/>
        </w:rPr>
        <w:t>VI. szakasz: Kiegészítő információk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>VI.1) További információk: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6"/>
      </w:tblGrid>
      <w:tr w:rsidR="007E293B" w:rsidRPr="007E293B" w:rsidTr="0061046E">
        <w:tc>
          <w:tcPr>
            <w:tcW w:w="9776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VI.1.1) Ajánlatkérő felhívja a gazdasági szereplők figyelmét, hogy érdeklődésüket az eljárás iránt az I.2) pontban megadott címen a IV.2.1) pontban meghatározott időpontig jelezzék.</w:t>
            </w:r>
          </w:p>
        </w:tc>
      </w:tr>
      <w:tr w:rsidR="007E293B" w:rsidRPr="007E293B" w:rsidTr="0061046E">
        <w:tc>
          <w:tcPr>
            <w:tcW w:w="9776" w:type="dxa"/>
            <w:hideMark/>
          </w:tcPr>
          <w:p w:rsid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VI.1.2) További információk: 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2</w:t>
            </w:r>
            <w:r w:rsidR="0081615B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="0081615B">
              <w:rPr>
                <w:rFonts w:ascii="Times New Roman" w:eastAsia="Times New Roman" w:hAnsi="Times New Roman"/>
                <w:sz w:val="18"/>
                <w:szCs w:val="18"/>
              </w:rPr>
              <w:t>Az ajánlatkérő a Kbt. 113.§ szerinti</w:t>
            </w:r>
            <w:r w:rsidR="0098137D">
              <w:rPr>
                <w:rFonts w:ascii="Times New Roman" w:eastAsia="Times New Roman" w:hAnsi="Times New Roman"/>
                <w:sz w:val="18"/>
                <w:szCs w:val="18"/>
              </w:rPr>
              <w:t>, 2 szakaszos</w:t>
            </w:r>
            <w:r w:rsidR="0081615B">
              <w:rPr>
                <w:rFonts w:ascii="Times New Roman" w:eastAsia="Times New Roman" w:hAnsi="Times New Roman"/>
                <w:sz w:val="18"/>
                <w:szCs w:val="18"/>
              </w:rPr>
              <w:t xml:space="preserve"> tárgyalásos eljárást alkalmaz.</w:t>
            </w:r>
          </w:p>
          <w:p w:rsidR="003F13DE" w:rsidRPr="0081615B" w:rsidRDefault="003F13DE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 II.1.4. pontban meghatározott szerződéses időszak 2018.06.30. napján 0:00 órától 2021.06.30. napján 24:00 óráig tart.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 xml:space="preserve">VI.2) Az összefoglaló tájékoztatás megküldésének dátuma: </w:t>
      </w: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(</w:t>
      </w:r>
      <w:r w:rsidR="0081615B">
        <w:rPr>
          <w:rFonts w:ascii="Times New Roman" w:eastAsia="Times New Roman" w:hAnsi="Times New Roman"/>
          <w:i/>
          <w:iCs/>
          <w:sz w:val="18"/>
          <w:szCs w:val="18"/>
        </w:rPr>
        <w:t>2018/02/22</w:t>
      </w: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/)</w:t>
      </w:r>
    </w:p>
    <w:p w:rsidR="007E293B" w:rsidRPr="007E293B" w:rsidRDefault="007E293B" w:rsidP="007E293B">
      <w:pPr>
        <w:spacing w:before="120" w:after="120"/>
        <w:jc w:val="center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eastAsia="Times New Roman" w:hAnsi="Times New Roman"/>
          <w:sz w:val="18"/>
          <w:szCs w:val="18"/>
        </w:rPr>
        <w:t>____________________________</w:t>
      </w:r>
    </w:p>
    <w:p w:rsidR="007E293B" w:rsidRPr="0081615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</w:rPr>
      </w:pPr>
      <w:r w:rsidRPr="0081615B">
        <w:rPr>
          <w:rFonts w:ascii="Times New Roman" w:eastAsia="Times New Roman" w:hAnsi="Times New Roman"/>
          <w:sz w:val="18"/>
          <w:szCs w:val="18"/>
          <w:vertAlign w:val="superscript"/>
        </w:rPr>
        <w:t>1    </w:t>
      </w:r>
      <w:r w:rsidRPr="0081615B">
        <w:rPr>
          <w:rFonts w:ascii="Times New Roman" w:eastAsia="Times New Roman" w:hAnsi="Times New Roman"/>
          <w:i/>
          <w:iCs/>
          <w:sz w:val="18"/>
          <w:szCs w:val="18"/>
        </w:rPr>
        <w:t>szükség szerinti számban ismételje meg</w:t>
      </w:r>
    </w:p>
    <w:p w:rsidR="007E293B" w:rsidRPr="0081615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</w:rPr>
      </w:pPr>
      <w:r w:rsidRPr="0081615B">
        <w:rPr>
          <w:rFonts w:ascii="Times New Roman" w:eastAsia="Times New Roman" w:hAnsi="Times New Roman"/>
          <w:sz w:val="18"/>
          <w:szCs w:val="18"/>
          <w:vertAlign w:val="superscript"/>
        </w:rPr>
        <w:t>2    </w:t>
      </w:r>
      <w:r w:rsidRPr="0081615B">
        <w:rPr>
          <w:rFonts w:ascii="Times New Roman" w:eastAsia="Times New Roman" w:hAnsi="Times New Roman"/>
          <w:i/>
          <w:iCs/>
          <w:sz w:val="18"/>
          <w:szCs w:val="18"/>
        </w:rPr>
        <w:t>adott esetben</w:t>
      </w:r>
    </w:p>
    <w:p w:rsidR="007E293B" w:rsidRPr="0081615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  <w:u w:val="wave"/>
        </w:rPr>
      </w:pPr>
      <w:r w:rsidRPr="0081615B">
        <w:rPr>
          <w:rFonts w:ascii="Times New Roman" w:eastAsia="Times New Roman" w:hAnsi="Times New Roman"/>
          <w:sz w:val="18"/>
          <w:szCs w:val="18"/>
          <w:u w:val="wave"/>
          <w:vertAlign w:val="superscript"/>
        </w:rPr>
        <w:t>3    </w:t>
      </w:r>
      <w:r w:rsidRPr="0081615B">
        <w:rPr>
          <w:rFonts w:ascii="Times New Roman" w:eastAsia="Times New Roman" w:hAnsi="Times New Roman"/>
          <w:i/>
          <w:iCs/>
          <w:sz w:val="18"/>
          <w:szCs w:val="18"/>
          <w:u w:val="wave"/>
        </w:rPr>
        <w:t>súlyszám helyett fontosság is megadható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  <w:u w:val="wave"/>
        </w:rPr>
      </w:pPr>
      <w:r w:rsidRPr="0081615B">
        <w:rPr>
          <w:rFonts w:ascii="Times New Roman" w:eastAsia="Times New Roman" w:hAnsi="Times New Roman"/>
          <w:sz w:val="18"/>
          <w:szCs w:val="18"/>
          <w:u w:val="wave"/>
          <w:vertAlign w:val="superscript"/>
        </w:rPr>
        <w:t>4    </w:t>
      </w:r>
      <w:r w:rsidRPr="0081615B">
        <w:rPr>
          <w:rFonts w:ascii="Times New Roman" w:eastAsia="Times New Roman" w:hAnsi="Times New Roman"/>
          <w:i/>
          <w:iCs/>
          <w:sz w:val="18"/>
          <w:szCs w:val="18"/>
          <w:u w:val="wave"/>
        </w:rPr>
        <w:t>súlyszám helyett fontosság is megadható; ha az ár az egyetlen értékelési szempont, súlyszám nem szükséges</w:t>
      </w:r>
    </w:p>
    <w:sectPr w:rsidR="007E293B" w:rsidRPr="007E293B" w:rsidSect="007E29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H Sans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7E293B"/>
    <w:rsid w:val="00002831"/>
    <w:rsid w:val="00006CF1"/>
    <w:rsid w:val="000171D7"/>
    <w:rsid w:val="00034806"/>
    <w:rsid w:val="00040A6D"/>
    <w:rsid w:val="000778ED"/>
    <w:rsid w:val="000B7E8B"/>
    <w:rsid w:val="000C757F"/>
    <w:rsid w:val="000D50BD"/>
    <w:rsid w:val="000E462F"/>
    <w:rsid w:val="000F6D29"/>
    <w:rsid w:val="0012491E"/>
    <w:rsid w:val="00173713"/>
    <w:rsid w:val="0018117E"/>
    <w:rsid w:val="001840EA"/>
    <w:rsid w:val="001977C3"/>
    <w:rsid w:val="001F7C8D"/>
    <w:rsid w:val="00245D2C"/>
    <w:rsid w:val="002670BE"/>
    <w:rsid w:val="002827A6"/>
    <w:rsid w:val="002C6895"/>
    <w:rsid w:val="002D0689"/>
    <w:rsid w:val="00336A1A"/>
    <w:rsid w:val="00384EC1"/>
    <w:rsid w:val="003F13DE"/>
    <w:rsid w:val="00402483"/>
    <w:rsid w:val="00457188"/>
    <w:rsid w:val="004A7664"/>
    <w:rsid w:val="004C642A"/>
    <w:rsid w:val="00506BAF"/>
    <w:rsid w:val="00520044"/>
    <w:rsid w:val="0061046E"/>
    <w:rsid w:val="00630419"/>
    <w:rsid w:val="006512C7"/>
    <w:rsid w:val="006810A5"/>
    <w:rsid w:val="006F548E"/>
    <w:rsid w:val="00737F99"/>
    <w:rsid w:val="007C3BEC"/>
    <w:rsid w:val="007D766B"/>
    <w:rsid w:val="007E293B"/>
    <w:rsid w:val="00801327"/>
    <w:rsid w:val="0081615B"/>
    <w:rsid w:val="00825F92"/>
    <w:rsid w:val="00874DDF"/>
    <w:rsid w:val="008B1F9B"/>
    <w:rsid w:val="008E789B"/>
    <w:rsid w:val="008F001A"/>
    <w:rsid w:val="008F1AEF"/>
    <w:rsid w:val="0093398C"/>
    <w:rsid w:val="0098137D"/>
    <w:rsid w:val="009C2677"/>
    <w:rsid w:val="009D0FC3"/>
    <w:rsid w:val="009D5AC0"/>
    <w:rsid w:val="00A10CDD"/>
    <w:rsid w:val="00A14EE9"/>
    <w:rsid w:val="00A338BC"/>
    <w:rsid w:val="00A55D45"/>
    <w:rsid w:val="00A56F46"/>
    <w:rsid w:val="00A81B5E"/>
    <w:rsid w:val="00A92B1B"/>
    <w:rsid w:val="00AA1A29"/>
    <w:rsid w:val="00AC495C"/>
    <w:rsid w:val="00AC7672"/>
    <w:rsid w:val="00AE5FB5"/>
    <w:rsid w:val="00AF4AF4"/>
    <w:rsid w:val="00B01F5C"/>
    <w:rsid w:val="00B17578"/>
    <w:rsid w:val="00B17D92"/>
    <w:rsid w:val="00B31924"/>
    <w:rsid w:val="00B3410C"/>
    <w:rsid w:val="00B46C3A"/>
    <w:rsid w:val="00BF0B81"/>
    <w:rsid w:val="00C11EEB"/>
    <w:rsid w:val="00C76367"/>
    <w:rsid w:val="00D9687F"/>
    <w:rsid w:val="00DF6DE9"/>
    <w:rsid w:val="00E03C14"/>
    <w:rsid w:val="00E43CD6"/>
    <w:rsid w:val="00E76054"/>
    <w:rsid w:val="00E856FD"/>
    <w:rsid w:val="00EB35D1"/>
    <w:rsid w:val="00EE3111"/>
    <w:rsid w:val="00F23471"/>
    <w:rsid w:val="00F51A8D"/>
    <w:rsid w:val="00F64EB3"/>
    <w:rsid w:val="00F719F3"/>
    <w:rsid w:val="00F77147"/>
    <w:rsid w:val="00F91098"/>
    <w:rsid w:val="00F97457"/>
    <w:rsid w:val="00FA6220"/>
    <w:rsid w:val="00FC5FD6"/>
    <w:rsid w:val="00FE3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H Sans" w:eastAsia="Calibri" w:hAnsi="KH Sans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A1A"/>
    <w:pPr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E293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styleId="Hiperhivatkozs">
    <w:name w:val="Hyperlink"/>
    <w:basedOn w:val="Bekezdsalapbettpusa"/>
    <w:uiPriority w:val="99"/>
    <w:semiHidden/>
    <w:unhideWhenUsed/>
    <w:rsid w:val="007E293B"/>
    <w:rPr>
      <w:color w:val="0000FF"/>
      <w:u w:val="single"/>
    </w:rPr>
  </w:style>
  <w:style w:type="paragraph" w:customStyle="1" w:styleId="np">
    <w:name w:val="np"/>
    <w:basedOn w:val="Norml"/>
    <w:rsid w:val="007E293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C76367"/>
    <w:pPr>
      <w:ind w:left="720"/>
      <w:contextualSpacing/>
    </w:pPr>
  </w:style>
  <w:style w:type="character" w:customStyle="1" w:styleId="SzvegtrzsChar">
    <w:name w:val="Szövegtörzs Char"/>
    <w:aliases w:val="b Char,bt Char,body text Char,book Char,EHPT Char,Body Text2 Char"/>
    <w:locked/>
    <w:rsid w:val="00F23471"/>
    <w:rPr>
      <w:shd w:val="clear" w:color="auto" w:fill="FFFFFF"/>
    </w:rPr>
  </w:style>
  <w:style w:type="paragraph" w:styleId="Szvegtrzs">
    <w:name w:val="Body Text"/>
    <w:basedOn w:val="Norml"/>
    <w:link w:val="SzvegtrzsChar1"/>
    <w:semiHidden/>
    <w:rsid w:val="00F23471"/>
    <w:pPr>
      <w:widowControl w:val="0"/>
      <w:shd w:val="clear" w:color="auto" w:fill="FFFFFF"/>
      <w:spacing w:line="422" w:lineRule="exact"/>
      <w:ind w:hanging="540"/>
    </w:pPr>
    <w:rPr>
      <w:rFonts w:ascii="Times New Roman" w:hAnsi="Times New Roman"/>
      <w:lang w:eastAsia="en-US"/>
    </w:rPr>
  </w:style>
  <w:style w:type="character" w:customStyle="1" w:styleId="SzvegtrzsChar1">
    <w:name w:val="Szövegtörzs Char1"/>
    <w:basedOn w:val="Bekezdsalapbettpusa"/>
    <w:link w:val="Szvegtrzs"/>
    <w:semiHidden/>
    <w:rsid w:val="00F23471"/>
    <w:rPr>
      <w:rFonts w:ascii="Times New Roman" w:hAnsi="Times New Roman"/>
      <w:shd w:val="clear" w:color="auto" w:fill="FFFFFF"/>
      <w:lang w:eastAsia="en-US"/>
    </w:rPr>
  </w:style>
  <w:style w:type="paragraph" w:customStyle="1" w:styleId="standard">
    <w:name w:val="standard"/>
    <w:basedOn w:val="Norml"/>
    <w:link w:val="standardChar"/>
    <w:uiPriority w:val="99"/>
    <w:rsid w:val="00F23471"/>
    <w:pPr>
      <w:suppressAutoHyphens/>
      <w:spacing w:before="28" w:after="28" w:line="100" w:lineRule="atLeast"/>
      <w:jc w:val="left"/>
      <w:textAlignment w:val="baseline"/>
    </w:pPr>
    <w:rPr>
      <w:rFonts w:ascii="Times New Roman" w:eastAsia="Times New Roman" w:hAnsi="Times New Roman"/>
      <w:color w:val="000000"/>
      <w:kern w:val="1"/>
      <w:lang w:eastAsia="zh-CN"/>
    </w:rPr>
  </w:style>
  <w:style w:type="character" w:customStyle="1" w:styleId="standardChar">
    <w:name w:val="standard Char"/>
    <w:link w:val="standard"/>
    <w:uiPriority w:val="99"/>
    <w:locked/>
    <w:rsid w:val="00F23471"/>
    <w:rPr>
      <w:rFonts w:ascii="Times New Roman" w:eastAsia="Times New Roman" w:hAnsi="Times New Roman"/>
      <w:color w:val="000000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2178</Words>
  <Characters>15031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Berethalmi András</dc:creator>
  <cp:lastModifiedBy>User</cp:lastModifiedBy>
  <cp:revision>2</cp:revision>
  <dcterms:created xsi:type="dcterms:W3CDTF">2018-02-15T18:01:00Z</dcterms:created>
  <dcterms:modified xsi:type="dcterms:W3CDTF">2018-02-15T18:01:00Z</dcterms:modified>
</cp:coreProperties>
</file>