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EE539" w14:textId="4CA4AA33" w:rsidR="00567623" w:rsidRDefault="00712160" w:rsidP="00712160">
      <w:pPr>
        <w:jc w:val="right"/>
      </w:pPr>
      <w:r w:rsidRPr="009D6C15">
        <w:rPr>
          <w:bCs/>
          <w:i/>
        </w:rPr>
        <w:t>Az SZMSZ 32. § (5) bekezdése alapján különös eljárásrend szerint.</w:t>
      </w:r>
    </w:p>
    <w:sectPr w:rsidR="0056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AE"/>
    <w:rsid w:val="000B69AE"/>
    <w:rsid w:val="00567623"/>
    <w:rsid w:val="007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5E6B"/>
  <w15:chartTrackingRefBased/>
  <w15:docId w15:val="{C9789A89-1543-4DE2-A204-299B87F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58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Sulyok Mónika</dc:creator>
  <cp:keywords/>
  <dc:description/>
  <cp:lastModifiedBy>Sulyok Mónika</cp:lastModifiedBy>
  <cp:revision>2</cp:revision>
  <dcterms:created xsi:type="dcterms:W3CDTF">2020-11-13T15:11:00Z</dcterms:created>
  <dcterms:modified xsi:type="dcterms:W3CDTF">2020-11-13T15:36:00Z</dcterms:modified>
</cp:coreProperties>
</file>